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Times New Roman"/>
          <w:b/>
          <w:bCs/>
          <w:sz w:val="32"/>
          <w:szCs w:val="32"/>
        </w:rPr>
      </w:pPr>
      <w:bookmarkStart w:id="0" w:name="_GoBack"/>
      <w:bookmarkEnd w:id="0"/>
      <w:r>
        <w:rPr>
          <w:rFonts w:hint="eastAsia" w:cs="宋体"/>
          <w:b/>
          <w:bCs/>
          <w:sz w:val="32"/>
          <w:szCs w:val="32"/>
        </w:rPr>
        <w:drawing>
          <wp:anchor distT="0" distB="0" distL="114300" distR="114300" simplePos="0" relativeHeight="251658240" behindDoc="0" locked="0" layoutInCell="1" allowOverlap="1">
            <wp:simplePos x="0" y="0"/>
            <wp:positionH relativeFrom="column">
              <wp:posOffset>76835</wp:posOffset>
            </wp:positionH>
            <wp:positionV relativeFrom="paragraph">
              <wp:posOffset>1024890</wp:posOffset>
            </wp:positionV>
            <wp:extent cx="5277485" cy="2673985"/>
            <wp:effectExtent l="19050" t="0" r="0" b="0"/>
            <wp:wrapSquare wrapText="bothSides"/>
            <wp:docPr id="2" name="图片 1" descr="微信图片_20200303105551.jpg"/>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1" descr="微信图片_20200303105551.jpg"/>
                    <pic:cNvPicPr>
                      <a:picLocks noChangeAspect="true"/>
                    </pic:cNvPicPr>
                  </pic:nvPicPr>
                  <pic:blipFill>
                    <a:blip r:embed="rId5"/>
                    <a:stretch>
                      <a:fillRect/>
                    </a:stretch>
                  </pic:blipFill>
                  <pic:spPr>
                    <a:xfrm>
                      <a:off x="0" y="0"/>
                      <a:ext cx="5277485" cy="2673985"/>
                    </a:xfrm>
                    <a:prstGeom prst="rect">
                      <a:avLst/>
                    </a:prstGeom>
                  </pic:spPr>
                </pic:pic>
              </a:graphicData>
            </a:graphic>
          </wp:anchor>
        </w:drawing>
      </w:r>
      <w:r>
        <w:rPr>
          <w:rFonts w:hint="eastAsia" w:cs="宋体"/>
          <w:b/>
          <w:bCs/>
          <w:sz w:val="32"/>
          <w:szCs w:val="32"/>
        </w:rPr>
        <w:t>绵阳市第三人民医院</w:t>
      </w:r>
    </w:p>
    <w:p>
      <w:pPr>
        <w:widowControl/>
        <w:adjustRightInd w:val="0"/>
        <w:snapToGrid w:val="0"/>
        <w:spacing w:afterLines="100" w:line="500" w:lineRule="exact"/>
        <w:ind w:firstLine="1766" w:firstLineChars="550"/>
        <w:rPr>
          <w:rFonts w:cs="Times New Roman"/>
          <w:b/>
          <w:bCs/>
          <w:sz w:val="32"/>
          <w:szCs w:val="32"/>
        </w:rPr>
      </w:pPr>
      <w:r>
        <w:rPr>
          <w:b/>
          <w:bCs/>
          <w:sz w:val="32"/>
          <w:szCs w:val="32"/>
        </w:rPr>
        <w:t>20</w:t>
      </w:r>
      <w:r>
        <w:rPr>
          <w:rFonts w:hint="eastAsia"/>
          <w:b/>
          <w:bCs/>
          <w:sz w:val="32"/>
          <w:szCs w:val="32"/>
        </w:rPr>
        <w:t>22</w:t>
      </w:r>
      <w:r>
        <w:rPr>
          <w:rFonts w:hint="eastAsia" w:cs="宋体"/>
          <w:b/>
          <w:bCs/>
          <w:sz w:val="32"/>
          <w:szCs w:val="32"/>
        </w:rPr>
        <w:t>年药师规范化培训招生简章</w:t>
      </w:r>
    </w:p>
    <w:p>
      <w:pPr>
        <w:snapToGrid w:val="0"/>
        <w:spacing w:line="400" w:lineRule="exact"/>
        <w:ind w:firstLine="480" w:firstLineChars="200"/>
        <w:contextualSpacing/>
        <w:rPr>
          <w:rFonts w:ascii="宋体" w:hAnsi="宋体" w:cs="宋体"/>
          <w:kern w:val="0"/>
          <w:sz w:val="24"/>
          <w:szCs w:val="24"/>
        </w:rPr>
      </w:pPr>
    </w:p>
    <w:p>
      <w:pPr>
        <w:snapToGrid w:val="0"/>
        <w:spacing w:line="400" w:lineRule="exact"/>
        <w:ind w:firstLine="480" w:firstLineChars="200"/>
        <w:contextualSpacing/>
        <w:rPr>
          <w:rFonts w:ascii="宋体" w:hAnsi="宋体" w:cs="宋体"/>
          <w:kern w:val="0"/>
          <w:sz w:val="24"/>
          <w:szCs w:val="24"/>
        </w:rPr>
      </w:pPr>
      <w:r>
        <w:rPr>
          <w:rFonts w:ascii="宋体" w:hAnsi="宋体" w:cs="宋体"/>
          <w:kern w:val="0"/>
          <w:sz w:val="24"/>
          <w:szCs w:val="24"/>
        </w:rPr>
        <w:t>绵阳市第三人民医院</w:t>
      </w:r>
      <w:r>
        <w:rPr>
          <w:rFonts w:hint="eastAsia" w:ascii="宋体" w:hAnsi="宋体" w:cs="宋体"/>
          <w:kern w:val="0"/>
          <w:sz w:val="24"/>
          <w:szCs w:val="24"/>
        </w:rPr>
        <w:t>位于中国科技城-绵阳。医院本部占地130亩，总资产10.92亿元，开放床位2060张，下辖高新分院、游仙分院二个分院；设有</w:t>
      </w:r>
      <w:r>
        <w:rPr>
          <w:rFonts w:ascii="宋体" w:hAnsi="宋体" w:cs="宋体"/>
          <w:kern w:val="0"/>
          <w:sz w:val="24"/>
          <w:szCs w:val="24"/>
        </w:rPr>
        <w:t>60余个业务科室，</w:t>
      </w:r>
      <w:r>
        <w:rPr>
          <w:rFonts w:hint="eastAsia" w:ascii="宋体" w:hAnsi="宋体" w:cs="宋体"/>
          <w:kern w:val="0"/>
          <w:sz w:val="24"/>
          <w:szCs w:val="24"/>
        </w:rPr>
        <w:t>拥有省、市级重点学（专）科37个。医院是国家自然科学基金依托单位、四川省博士后创新实践基地，是重庆医科大学、西南医科大学、川北医学院、成都医学院等高等院校的教学医院，是四川省首批国家级住院医师规范化培训基地。医院</w:t>
      </w:r>
      <w:r>
        <w:rPr>
          <w:rFonts w:ascii="宋体" w:hAnsi="宋体" w:cs="宋体"/>
          <w:kern w:val="0"/>
          <w:sz w:val="24"/>
          <w:szCs w:val="24"/>
        </w:rPr>
        <w:t>在岗员工</w:t>
      </w:r>
      <w:r>
        <w:rPr>
          <w:rFonts w:hint="eastAsia" w:ascii="宋体" w:hAnsi="宋体" w:cs="宋体"/>
          <w:kern w:val="0"/>
          <w:sz w:val="24"/>
          <w:szCs w:val="24"/>
        </w:rPr>
        <w:t>2734</w:t>
      </w:r>
      <w:r>
        <w:rPr>
          <w:rFonts w:ascii="宋体" w:hAnsi="宋体" w:cs="宋体"/>
          <w:kern w:val="0"/>
          <w:sz w:val="24"/>
          <w:szCs w:val="24"/>
        </w:rPr>
        <w:t>名，其中</w:t>
      </w:r>
      <w:r>
        <w:rPr>
          <w:rFonts w:hint="eastAsia" w:ascii="宋体" w:hAnsi="宋体" w:cs="宋体"/>
          <w:kern w:val="0"/>
          <w:sz w:val="24"/>
          <w:szCs w:val="24"/>
        </w:rPr>
        <w:t>：</w:t>
      </w:r>
      <w:r>
        <w:rPr>
          <w:rFonts w:ascii="宋体" w:hAnsi="宋体" w:cs="宋体"/>
          <w:kern w:val="0"/>
          <w:sz w:val="24"/>
          <w:szCs w:val="24"/>
        </w:rPr>
        <w:t>硕士研究生导师</w:t>
      </w:r>
      <w:r>
        <w:rPr>
          <w:rFonts w:hint="eastAsia" w:ascii="宋体" w:hAnsi="宋体" w:cs="宋体"/>
          <w:kern w:val="0"/>
          <w:sz w:val="24"/>
          <w:szCs w:val="24"/>
        </w:rPr>
        <w:t>17人</w:t>
      </w:r>
      <w:r>
        <w:rPr>
          <w:rFonts w:ascii="宋体" w:hAnsi="宋体" w:cs="宋体"/>
          <w:kern w:val="0"/>
          <w:sz w:val="24"/>
          <w:szCs w:val="24"/>
        </w:rPr>
        <w:t>，</w:t>
      </w:r>
      <w:r>
        <w:rPr>
          <w:rFonts w:hint="eastAsia" w:ascii="宋体" w:hAnsi="宋体" w:cs="宋体"/>
          <w:kern w:val="0"/>
          <w:sz w:val="24"/>
          <w:szCs w:val="24"/>
        </w:rPr>
        <w:t>博士17人（其中博士后3人）、硕士285人、在读硕士博士15人；中</w:t>
      </w:r>
      <w:r>
        <w:rPr>
          <w:rFonts w:ascii="宋体" w:hAnsi="宋体" w:cs="宋体"/>
          <w:kern w:val="0"/>
          <w:sz w:val="24"/>
          <w:szCs w:val="24"/>
        </w:rPr>
        <w:t>高级职称</w:t>
      </w:r>
      <w:r>
        <w:rPr>
          <w:rFonts w:hint="eastAsia" w:ascii="宋体" w:hAnsi="宋体" w:cs="宋体"/>
          <w:kern w:val="0"/>
          <w:sz w:val="24"/>
          <w:szCs w:val="24"/>
        </w:rPr>
        <w:t xml:space="preserve">964人；四川省学术和技术带头人、省卫健委学术技术带头人等拔尖人才共计21人。 </w:t>
      </w:r>
    </w:p>
    <w:p>
      <w:pPr>
        <w:widowControl/>
        <w:shd w:val="clear" w:color="auto" w:fill="FFFFFF"/>
        <w:snapToGrid w:val="0"/>
        <w:spacing w:line="400" w:lineRule="exact"/>
        <w:ind w:firstLine="480" w:firstLineChars="200"/>
        <w:contextualSpacing/>
        <w:jc w:val="left"/>
        <w:rPr>
          <w:rFonts w:ascii="宋体" w:hAnsi="宋体" w:cs="宋体"/>
          <w:kern w:val="0"/>
          <w:sz w:val="24"/>
          <w:szCs w:val="24"/>
        </w:rPr>
      </w:pPr>
      <w:r>
        <w:rPr>
          <w:rFonts w:hint="eastAsia" w:ascii="宋体" w:hAnsi="宋体" w:cs="宋体"/>
          <w:kern w:val="0"/>
          <w:sz w:val="24"/>
          <w:szCs w:val="24"/>
        </w:rPr>
        <w:t>近年来，我院药学学科建设、教学培训及药事管理工作发展迅速，取得了“国家药物临床试验机构”、“ 国家药品不良反应监测哨点医院”、“</w:t>
      </w:r>
      <w:r>
        <w:rPr>
          <w:rFonts w:ascii="宋体" w:hAnsi="宋体" w:cs="宋体"/>
          <w:kern w:val="0"/>
          <w:sz w:val="24"/>
          <w:szCs w:val="24"/>
        </w:rPr>
        <w:t xml:space="preserve"> 四川省药师规范化培训基地</w:t>
      </w:r>
      <w:r>
        <w:rPr>
          <w:rFonts w:hint="eastAsia" w:ascii="宋体" w:hAnsi="宋体" w:cs="宋体"/>
          <w:kern w:val="0"/>
          <w:sz w:val="24"/>
          <w:szCs w:val="24"/>
        </w:rPr>
        <w:t>”、“绵阳市药事管理质量控制中心”等资质，被授予“四川省医学甲级重点专科”、“ 四川省药事质量控制工作优秀单位”及 “四川省药事管理优秀</w:t>
      </w:r>
      <w:r>
        <w:rPr>
          <w:rFonts w:ascii="宋体" w:hAnsi="宋体" w:cs="宋体"/>
          <w:kern w:val="0"/>
          <w:sz w:val="24"/>
          <w:szCs w:val="24"/>
        </w:rPr>
        <w:t>奖</w:t>
      </w:r>
      <w:r>
        <w:rPr>
          <w:rFonts w:hint="eastAsia" w:ascii="宋体" w:hAnsi="宋体" w:cs="宋体"/>
          <w:kern w:val="0"/>
          <w:sz w:val="24"/>
          <w:szCs w:val="24"/>
        </w:rPr>
        <w:t>”等荣誉称号</w:t>
      </w:r>
      <w:r>
        <w:rPr>
          <w:rFonts w:ascii="宋体" w:hAnsi="宋体" w:cs="宋体"/>
          <w:kern w:val="0"/>
          <w:sz w:val="24"/>
          <w:szCs w:val="24"/>
        </w:rPr>
        <w:t>。为提高医疗机构药师队伍整体素质和专业能力，按照四川省卫生计生委《关于开展护士、药师规范化培训试点的通知》(川卫办发[2016]158号)文件精神要求，</w:t>
      </w:r>
      <w:r>
        <w:rPr>
          <w:rFonts w:hint="eastAsia" w:ascii="宋体" w:hAnsi="宋体" w:cs="宋体"/>
          <w:kern w:val="0"/>
          <w:sz w:val="24"/>
          <w:szCs w:val="24"/>
        </w:rPr>
        <w:t>绵阳市第三人民医院</w:t>
      </w:r>
      <w:r>
        <w:rPr>
          <w:rFonts w:ascii="宋体" w:hAnsi="宋体" w:cs="宋体"/>
          <w:kern w:val="0"/>
          <w:sz w:val="24"/>
          <w:szCs w:val="24"/>
        </w:rPr>
        <w:t>现面向社会招收20</w:t>
      </w:r>
      <w:r>
        <w:rPr>
          <w:rFonts w:hint="eastAsia" w:ascii="宋体" w:hAnsi="宋体" w:cs="宋体"/>
          <w:kern w:val="0"/>
          <w:sz w:val="24"/>
          <w:szCs w:val="24"/>
        </w:rPr>
        <w:t>22</w:t>
      </w:r>
      <w:r>
        <w:rPr>
          <w:rFonts w:ascii="宋体" w:hAnsi="宋体" w:cs="宋体"/>
          <w:kern w:val="0"/>
          <w:sz w:val="24"/>
          <w:szCs w:val="24"/>
        </w:rPr>
        <w:t>级</w:t>
      </w:r>
      <w:r>
        <w:rPr>
          <w:rFonts w:hint="eastAsia" w:ascii="宋体" w:hAnsi="宋体" w:cs="宋体"/>
          <w:kern w:val="0"/>
          <w:sz w:val="24"/>
          <w:szCs w:val="24"/>
        </w:rPr>
        <w:t>四川省医疗机构药师</w:t>
      </w:r>
      <w:r>
        <w:rPr>
          <w:rFonts w:ascii="宋体" w:hAnsi="宋体" w:cs="宋体"/>
          <w:kern w:val="0"/>
          <w:sz w:val="24"/>
          <w:szCs w:val="24"/>
        </w:rPr>
        <w:t>规范化培训学员。</w:t>
      </w:r>
    </w:p>
    <w:p>
      <w:pPr>
        <w:widowControl/>
        <w:shd w:val="clear" w:color="auto" w:fill="FFFFFF"/>
        <w:snapToGrid w:val="0"/>
        <w:spacing w:line="400" w:lineRule="exact"/>
        <w:ind w:firstLine="481" w:firstLineChars="200"/>
        <w:contextualSpacing/>
        <w:jc w:val="left"/>
        <w:rPr>
          <w:rFonts w:ascii="宋体" w:hAnsi="宋体" w:cs="宋体"/>
          <w:kern w:val="0"/>
          <w:sz w:val="24"/>
          <w:szCs w:val="24"/>
        </w:rPr>
      </w:pPr>
      <w:r>
        <w:rPr>
          <w:rStyle w:val="12"/>
          <w:rFonts w:hint="eastAsia" w:ascii="宋体" w:hAnsi="宋体" w:cs="宋体"/>
          <w:sz w:val="24"/>
          <w:szCs w:val="24"/>
        </w:rPr>
        <w:t>培训模式：</w:t>
      </w:r>
      <w:r>
        <w:rPr>
          <w:rFonts w:hint="eastAsia" w:ascii="宋体" w:hAnsi="宋体" w:cs="宋体"/>
          <w:kern w:val="0"/>
          <w:sz w:val="24"/>
          <w:szCs w:val="24"/>
        </w:rPr>
        <w:t>培训时间为1年，</w:t>
      </w:r>
      <w:r>
        <w:rPr>
          <w:rFonts w:ascii="宋体" w:hAnsi="宋体" w:cs="Times New Roman"/>
          <w:kern w:val="0"/>
          <w:sz w:val="24"/>
          <w:szCs w:val="24"/>
        </w:rPr>
        <w:t xml:space="preserve"> </w:t>
      </w:r>
      <w:r>
        <w:rPr>
          <w:rFonts w:hint="eastAsia" w:ascii="宋体" w:hAnsi="宋体" w:cs="宋体"/>
          <w:kern w:val="0"/>
          <w:sz w:val="24"/>
          <w:szCs w:val="24"/>
        </w:rPr>
        <w:t>按照《四川省医疗机构药师规范化培训标准（试行）》的要求，完成相关专业轮转，安排带教老师1对1进行指导，加强出科考核，培训期满后</w:t>
      </w:r>
      <w:r>
        <w:rPr>
          <w:rFonts w:hint="eastAsia" w:ascii="宋体" w:hAnsi="宋体" w:cs="宋体"/>
          <w:sz w:val="24"/>
          <w:szCs w:val="24"/>
        </w:rPr>
        <w:t>考核合格者由四川</w:t>
      </w:r>
      <w:r>
        <w:rPr>
          <w:rFonts w:ascii="宋体" w:hAnsi="宋体"/>
          <w:sz w:val="24"/>
          <w:szCs w:val="24"/>
        </w:rPr>
        <w:t>省</w:t>
      </w:r>
      <w:r>
        <w:rPr>
          <w:rFonts w:hint="eastAsia" w:ascii="宋体" w:hAnsi="宋体"/>
          <w:sz w:val="24"/>
          <w:szCs w:val="24"/>
        </w:rPr>
        <w:t>卫生和计划生育委员会</w:t>
      </w:r>
      <w:r>
        <w:rPr>
          <w:rFonts w:hint="eastAsia" w:ascii="宋体" w:hAnsi="宋体" w:cs="宋体"/>
          <w:sz w:val="24"/>
          <w:szCs w:val="24"/>
        </w:rPr>
        <w:t>颁发“四川省医疗机构药师规范化培训合格证书” 。</w:t>
      </w:r>
    </w:p>
    <w:p>
      <w:pPr>
        <w:widowControl/>
        <w:shd w:val="clear" w:color="auto" w:fill="FFFFFF"/>
        <w:snapToGrid w:val="0"/>
        <w:spacing w:line="400" w:lineRule="exact"/>
        <w:contextualSpacing/>
        <w:jc w:val="left"/>
        <w:rPr>
          <w:rStyle w:val="12"/>
          <w:rFonts w:ascii="宋体" w:hAnsi="宋体" w:cs="宋体"/>
          <w:sz w:val="24"/>
          <w:szCs w:val="24"/>
        </w:rPr>
      </w:pPr>
      <w:r>
        <w:rPr>
          <w:rStyle w:val="12"/>
          <w:rFonts w:hint="eastAsia" w:ascii="宋体" w:hAnsi="宋体" w:cs="宋体"/>
          <w:sz w:val="24"/>
          <w:szCs w:val="24"/>
        </w:rPr>
        <w:t>一、招收对象及条件</w:t>
      </w:r>
    </w:p>
    <w:p>
      <w:pPr>
        <w:widowControl/>
        <w:adjustRightInd w:val="0"/>
        <w:snapToGrid w:val="0"/>
        <w:spacing w:after="135" w:line="400" w:lineRule="exact"/>
        <w:ind w:firstLine="200"/>
        <w:contextualSpacing/>
        <w:jc w:val="left"/>
        <w:rPr>
          <w:rFonts w:ascii="宋体" w:hAnsi="宋体" w:cs="宋体"/>
          <w:kern w:val="0"/>
          <w:sz w:val="24"/>
          <w:szCs w:val="24"/>
        </w:rPr>
      </w:pPr>
      <w:r>
        <w:rPr>
          <w:rFonts w:hint="eastAsia" w:ascii="宋体" w:hAnsi="宋体" w:cs="宋体"/>
          <w:kern w:val="0"/>
          <w:sz w:val="24"/>
          <w:szCs w:val="24"/>
        </w:rPr>
        <w:t>（一）培拥护中国共产党的领导，具有正确的政治方向，热爱祖国，品德良好，遵纪守法，身心健康。</w:t>
      </w:r>
    </w:p>
    <w:p>
      <w:pPr>
        <w:widowControl/>
        <w:adjustRightInd w:val="0"/>
        <w:snapToGrid w:val="0"/>
        <w:spacing w:after="135" w:line="400" w:lineRule="exact"/>
        <w:ind w:firstLine="200"/>
        <w:contextualSpacing/>
        <w:jc w:val="left"/>
        <w:rPr>
          <w:rStyle w:val="12"/>
          <w:rFonts w:ascii="宋体" w:hAnsi="宋体" w:cs="宋体"/>
          <w:b w:val="0"/>
          <w:bCs w:val="0"/>
          <w:kern w:val="0"/>
          <w:sz w:val="24"/>
          <w:szCs w:val="24"/>
        </w:rPr>
      </w:pPr>
      <w:r>
        <w:rPr>
          <w:rFonts w:hint="eastAsia" w:ascii="宋体" w:hAnsi="宋体" w:cs="宋体"/>
          <w:kern w:val="0"/>
          <w:sz w:val="24"/>
          <w:szCs w:val="24"/>
        </w:rPr>
        <w:t>（二）报考学员，须满足以下条件之一：</w:t>
      </w:r>
    </w:p>
    <w:p>
      <w:pPr>
        <w:widowControl/>
        <w:adjustRightInd w:val="0"/>
        <w:snapToGrid w:val="0"/>
        <w:spacing w:after="135" w:line="400" w:lineRule="exact"/>
        <w:ind w:firstLine="200"/>
        <w:contextualSpacing/>
        <w:jc w:val="left"/>
        <w:rPr>
          <w:rFonts w:ascii="宋体" w:hAnsi="宋体" w:cs="Times New Roman"/>
          <w:kern w:val="0"/>
          <w:sz w:val="24"/>
          <w:szCs w:val="24"/>
        </w:rPr>
      </w:pPr>
      <w:r>
        <w:rPr>
          <w:rFonts w:hint="eastAsia" w:ascii="宋体" w:hAnsi="宋体" w:cs="宋体"/>
          <w:kern w:val="0"/>
          <w:sz w:val="24"/>
          <w:szCs w:val="24"/>
        </w:rPr>
        <w:t>　</w:t>
      </w:r>
      <w:r>
        <w:rPr>
          <w:rFonts w:ascii="宋体" w:hAnsi="宋体" w:cs="宋体"/>
          <w:kern w:val="0"/>
          <w:sz w:val="24"/>
          <w:szCs w:val="24"/>
        </w:rPr>
        <w:t>1</w:t>
      </w:r>
      <w:r>
        <w:rPr>
          <w:rFonts w:hint="eastAsia" w:ascii="宋体" w:hAnsi="宋体" w:cs="宋体"/>
          <w:kern w:val="0"/>
          <w:sz w:val="24"/>
          <w:szCs w:val="24"/>
        </w:rPr>
        <w:t>、药学相关专业</w:t>
      </w:r>
      <w:r>
        <w:rPr>
          <w:rFonts w:hint="eastAsia" w:ascii="宋体" w:hAnsi="宋体" w:cs="宋体"/>
          <w:b/>
          <w:kern w:val="0"/>
          <w:sz w:val="24"/>
          <w:szCs w:val="24"/>
        </w:rPr>
        <w:t>全日制</w:t>
      </w:r>
      <w:r>
        <w:rPr>
          <w:rFonts w:hint="eastAsia" w:ascii="宋体" w:hAnsi="宋体" w:cs="宋体"/>
          <w:kern w:val="0"/>
          <w:sz w:val="24"/>
          <w:szCs w:val="24"/>
        </w:rPr>
        <w:t>大专及以上学历应届、往届毕业生（报到时未取得毕业证和学位证的学员，将取消录取资格）；</w:t>
      </w:r>
    </w:p>
    <w:p>
      <w:pPr>
        <w:widowControl/>
        <w:adjustRightInd w:val="0"/>
        <w:snapToGrid w:val="0"/>
        <w:spacing w:after="135" w:line="400" w:lineRule="exact"/>
        <w:ind w:firstLine="200"/>
        <w:contextualSpacing/>
        <w:jc w:val="left"/>
        <w:rPr>
          <w:rFonts w:ascii="宋体" w:hAnsi="宋体" w:cs="宋体"/>
          <w:kern w:val="0"/>
          <w:sz w:val="24"/>
          <w:szCs w:val="24"/>
        </w:rPr>
      </w:pPr>
      <w:r>
        <w:rPr>
          <w:rFonts w:hint="eastAsia" w:ascii="宋体" w:hAnsi="宋体" w:cs="宋体"/>
          <w:kern w:val="0"/>
          <w:sz w:val="24"/>
          <w:szCs w:val="24"/>
        </w:rPr>
        <w:t>　</w:t>
      </w:r>
      <w:r>
        <w:rPr>
          <w:rFonts w:ascii="宋体" w:hAnsi="宋体" w:cs="宋体"/>
          <w:kern w:val="0"/>
          <w:sz w:val="24"/>
          <w:szCs w:val="24"/>
        </w:rPr>
        <w:t>2</w:t>
      </w:r>
      <w:r>
        <w:rPr>
          <w:rFonts w:hint="eastAsia" w:ascii="宋体" w:hAnsi="宋体" w:cs="宋体"/>
          <w:kern w:val="0"/>
          <w:sz w:val="24"/>
          <w:szCs w:val="24"/>
        </w:rPr>
        <w:t>、自愿以“培训学员”身份参加我院药师规范化培训的其他</w:t>
      </w:r>
      <w:r>
        <w:rPr>
          <w:rFonts w:ascii="宋体" w:hAnsi="宋体" w:cs="宋体"/>
          <w:kern w:val="0"/>
          <w:sz w:val="24"/>
          <w:szCs w:val="24"/>
        </w:rPr>
        <w:t>药师</w:t>
      </w:r>
      <w:r>
        <w:rPr>
          <w:rFonts w:hint="eastAsia" w:ascii="宋体" w:hAnsi="宋体" w:cs="宋体"/>
          <w:kern w:val="0"/>
          <w:sz w:val="24"/>
          <w:szCs w:val="24"/>
        </w:rPr>
        <w:t>；</w:t>
      </w:r>
    </w:p>
    <w:p>
      <w:pPr>
        <w:widowControl/>
        <w:adjustRightInd w:val="0"/>
        <w:snapToGrid w:val="0"/>
        <w:spacing w:after="135" w:line="400" w:lineRule="exact"/>
        <w:ind w:firstLine="200"/>
        <w:contextualSpacing/>
        <w:jc w:val="left"/>
        <w:rPr>
          <w:rFonts w:ascii="宋体" w:hAnsi="宋体" w:cs="宋体"/>
          <w:kern w:val="0"/>
          <w:sz w:val="24"/>
          <w:szCs w:val="24"/>
        </w:rPr>
      </w:pPr>
      <w:r>
        <w:rPr>
          <w:rFonts w:hint="eastAsia" w:ascii="宋体" w:hAnsi="宋体" w:cs="宋体"/>
          <w:color w:val="FF0000"/>
          <w:kern w:val="0"/>
          <w:sz w:val="24"/>
          <w:szCs w:val="24"/>
        </w:rPr>
        <w:t xml:space="preserve">  </w:t>
      </w:r>
      <w:r>
        <w:rPr>
          <w:rFonts w:hint="eastAsia" w:ascii="宋体" w:hAnsi="宋体" w:cs="宋体"/>
          <w:kern w:val="0"/>
          <w:sz w:val="24"/>
          <w:szCs w:val="24"/>
        </w:rPr>
        <w:t>3、其它医疗机构委托培训学员。</w:t>
      </w:r>
    </w:p>
    <w:p>
      <w:pPr>
        <w:widowControl/>
        <w:adjustRightInd w:val="0"/>
        <w:snapToGrid w:val="0"/>
        <w:spacing w:after="135" w:line="400" w:lineRule="exact"/>
        <w:contextualSpacing/>
        <w:jc w:val="left"/>
        <w:rPr>
          <w:rFonts w:ascii="宋体" w:hAnsi="宋体" w:cs="Times New Roman"/>
          <w:kern w:val="0"/>
          <w:sz w:val="24"/>
          <w:szCs w:val="24"/>
        </w:rPr>
      </w:pPr>
      <w:r>
        <w:rPr>
          <w:rStyle w:val="12"/>
          <w:rFonts w:hint="eastAsia" w:ascii="宋体" w:hAnsi="宋体" w:cs="宋体"/>
          <w:sz w:val="24"/>
          <w:szCs w:val="24"/>
        </w:rPr>
        <w:t>二、招收人数</w:t>
      </w:r>
    </w:p>
    <w:p>
      <w:pPr>
        <w:widowControl/>
        <w:adjustRightInd w:val="0"/>
        <w:snapToGrid w:val="0"/>
        <w:spacing w:after="135" w:line="400" w:lineRule="exact"/>
        <w:ind w:firstLine="480" w:firstLineChars="200"/>
        <w:contextualSpacing/>
        <w:jc w:val="left"/>
        <w:rPr>
          <w:rFonts w:ascii="宋体" w:hAnsi="宋体" w:cs="Times New Roman"/>
          <w:kern w:val="0"/>
          <w:sz w:val="24"/>
          <w:szCs w:val="24"/>
        </w:rPr>
      </w:pPr>
      <w:r>
        <w:rPr>
          <w:rFonts w:ascii="宋体" w:hAnsi="宋体" w:cs="宋体"/>
          <w:kern w:val="0"/>
          <w:sz w:val="24"/>
          <w:szCs w:val="24"/>
        </w:rPr>
        <w:t>20</w:t>
      </w:r>
      <w:r>
        <w:rPr>
          <w:rFonts w:hint="eastAsia" w:ascii="宋体" w:hAnsi="宋体" w:cs="宋体"/>
          <w:kern w:val="0"/>
          <w:sz w:val="24"/>
          <w:szCs w:val="24"/>
        </w:rPr>
        <w:t>22年计划招生5人。</w:t>
      </w:r>
    </w:p>
    <w:p>
      <w:pPr>
        <w:widowControl/>
        <w:adjustRightInd w:val="0"/>
        <w:snapToGrid w:val="0"/>
        <w:spacing w:after="135" w:line="400" w:lineRule="exact"/>
        <w:contextualSpacing/>
        <w:jc w:val="left"/>
        <w:rPr>
          <w:rStyle w:val="12"/>
          <w:rFonts w:ascii="宋体" w:hAnsi="宋体" w:cs="Times New Roman"/>
          <w:sz w:val="24"/>
          <w:szCs w:val="24"/>
        </w:rPr>
      </w:pPr>
      <w:r>
        <w:rPr>
          <w:rStyle w:val="12"/>
          <w:rFonts w:hint="eastAsia" w:ascii="宋体" w:hAnsi="宋体" w:cs="宋体"/>
          <w:sz w:val="24"/>
          <w:szCs w:val="24"/>
        </w:rPr>
        <w:t xml:space="preserve">三、报名时间 </w:t>
      </w:r>
    </w:p>
    <w:p>
      <w:pPr>
        <w:widowControl/>
        <w:tabs>
          <w:tab w:val="left" w:pos="5985"/>
        </w:tabs>
        <w:adjustRightInd w:val="0"/>
        <w:snapToGrid w:val="0"/>
        <w:spacing w:after="135" w:line="400" w:lineRule="exact"/>
        <w:ind w:firstLine="470" w:firstLineChars="196"/>
        <w:contextualSpacing/>
        <w:jc w:val="left"/>
        <w:rPr>
          <w:rFonts w:ascii="宋体" w:hAnsi="宋体" w:cs="宋体"/>
          <w:sz w:val="24"/>
          <w:szCs w:val="24"/>
        </w:rPr>
      </w:pPr>
      <w:r>
        <w:rPr>
          <w:rFonts w:hint="eastAsia" w:ascii="宋体" w:hAnsi="宋体" w:cs="宋体"/>
          <w:sz w:val="24"/>
          <w:szCs w:val="24"/>
        </w:rPr>
        <w:t>即日起至</w:t>
      </w:r>
      <w:r>
        <w:rPr>
          <w:rFonts w:ascii="宋体" w:hAnsi="宋体" w:cs="宋体"/>
          <w:sz w:val="24"/>
          <w:szCs w:val="24"/>
        </w:rPr>
        <w:t>20</w:t>
      </w:r>
      <w:r>
        <w:rPr>
          <w:rFonts w:hint="eastAsia" w:ascii="宋体" w:hAnsi="宋体" w:cs="宋体"/>
          <w:sz w:val="24"/>
          <w:szCs w:val="24"/>
        </w:rPr>
        <w:t>22年3月31日</w:t>
      </w:r>
    </w:p>
    <w:p>
      <w:pPr>
        <w:widowControl/>
        <w:adjustRightInd w:val="0"/>
        <w:snapToGrid w:val="0"/>
        <w:spacing w:after="135" w:line="400" w:lineRule="exact"/>
        <w:contextualSpacing/>
        <w:jc w:val="left"/>
        <w:rPr>
          <w:rStyle w:val="12"/>
          <w:rFonts w:ascii="宋体" w:hAnsi="宋体" w:cs="Times New Roman"/>
          <w:bCs w:val="0"/>
          <w:kern w:val="0"/>
          <w:sz w:val="24"/>
          <w:szCs w:val="24"/>
        </w:rPr>
      </w:pPr>
      <w:r>
        <w:rPr>
          <w:rStyle w:val="12"/>
          <w:rFonts w:hint="eastAsia" w:ascii="宋体" w:hAnsi="宋体" w:cs="宋体"/>
          <w:sz w:val="24"/>
          <w:szCs w:val="24"/>
        </w:rPr>
        <w:t>四、培训保障</w:t>
      </w:r>
    </w:p>
    <w:p>
      <w:pPr>
        <w:widowControl/>
        <w:adjustRightInd w:val="0"/>
        <w:snapToGrid w:val="0"/>
        <w:spacing w:after="135" w:line="400" w:lineRule="exact"/>
        <w:ind w:firstLine="360" w:firstLineChars="150"/>
        <w:contextualSpacing/>
        <w:jc w:val="left"/>
        <w:rPr>
          <w:rFonts w:ascii="宋体" w:hAnsi="宋体" w:cs="Arial"/>
          <w:sz w:val="24"/>
          <w:szCs w:val="24"/>
          <w:shd w:val="clear" w:color="auto" w:fill="FFFFFF"/>
        </w:rPr>
      </w:pPr>
      <w:r>
        <w:rPr>
          <w:rFonts w:hint="eastAsia" w:ascii="宋体" w:hAnsi="宋体" w:cs="Arial"/>
          <w:sz w:val="24"/>
          <w:szCs w:val="24"/>
          <w:shd w:val="clear" w:color="auto" w:fill="FFFFFF"/>
        </w:rPr>
        <w:t>（一）人事关系：学员人事档案由绵阳市人才流动服务中心或生源地人才交流中心代管(学员自行办理手续，如需出具相关证明，医院可协助办理），本院不接收。</w:t>
      </w:r>
    </w:p>
    <w:p>
      <w:pPr>
        <w:widowControl/>
        <w:adjustRightInd w:val="0"/>
        <w:snapToGrid w:val="0"/>
        <w:spacing w:after="135" w:line="400" w:lineRule="exact"/>
        <w:ind w:firstLine="360" w:firstLineChars="150"/>
        <w:contextualSpacing/>
        <w:jc w:val="left"/>
        <w:rPr>
          <w:rFonts w:ascii="宋体" w:hAnsi="宋体" w:cs="Arial"/>
          <w:sz w:val="24"/>
          <w:szCs w:val="24"/>
          <w:shd w:val="clear" w:color="auto" w:fill="FFFFFF"/>
        </w:rPr>
      </w:pPr>
      <w:r>
        <w:rPr>
          <w:rFonts w:hint="eastAsia" w:ascii="宋体" w:hAnsi="宋体" w:cs="Arial"/>
          <w:sz w:val="24"/>
          <w:szCs w:val="24"/>
          <w:shd w:val="clear" w:color="auto" w:fill="FFFFFF"/>
        </w:rPr>
        <w:t>（二）</w:t>
      </w:r>
      <w:r>
        <w:rPr>
          <w:rFonts w:hint="eastAsia" w:ascii="宋体" w:hAnsi="宋体" w:cs="宋体"/>
          <w:kern w:val="0"/>
          <w:sz w:val="24"/>
          <w:szCs w:val="24"/>
        </w:rPr>
        <w:t>待遇保障</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2"/>
        <w:gridCol w:w="2511"/>
        <w:gridCol w:w="3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8" w:type="dxa"/>
            <w:gridSpan w:val="3"/>
            <w:vAlign w:val="center"/>
          </w:tcPr>
          <w:p>
            <w:pPr>
              <w:widowControl/>
              <w:adjustRightInd w:val="0"/>
              <w:snapToGrid w:val="0"/>
              <w:spacing w:after="135" w:line="400" w:lineRule="exact"/>
              <w:contextualSpacing/>
              <w:jc w:val="center"/>
              <w:rPr>
                <w:rFonts w:ascii="宋体" w:hAnsi="宋体" w:cs="宋体"/>
                <w:kern w:val="0"/>
                <w:sz w:val="24"/>
                <w:szCs w:val="24"/>
              </w:rPr>
            </w:pPr>
            <w:r>
              <w:rPr>
                <w:rFonts w:hint="eastAsia" w:ascii="宋体" w:hAnsi="宋体" w:cs="Arial"/>
                <w:sz w:val="24"/>
                <w:szCs w:val="24"/>
                <w:shd w:val="clear" w:color="auto" w:fill="FFFFFF"/>
              </w:rPr>
              <w:t>规范化培训学员待遇表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2" w:type="dxa"/>
            <w:vMerge w:val="restart"/>
            <w:vAlign w:val="center"/>
          </w:tcPr>
          <w:p>
            <w:pPr>
              <w:adjustRightInd w:val="0"/>
              <w:snapToGrid w:val="0"/>
              <w:spacing w:after="135" w:line="400" w:lineRule="exact"/>
              <w:contextualSpacing/>
              <w:jc w:val="center"/>
              <w:rPr>
                <w:rFonts w:ascii="宋体" w:hAnsi="宋体" w:cs="宋体"/>
                <w:kern w:val="0"/>
                <w:sz w:val="24"/>
                <w:szCs w:val="24"/>
              </w:rPr>
            </w:pPr>
            <w:r>
              <w:rPr>
                <w:rFonts w:hint="eastAsia" w:ascii="宋体" w:hAnsi="宋体" w:cs="宋体"/>
                <w:kern w:val="0"/>
                <w:sz w:val="24"/>
                <w:szCs w:val="24"/>
              </w:rPr>
              <w:t>固定收入</w:t>
            </w:r>
          </w:p>
        </w:tc>
        <w:tc>
          <w:tcPr>
            <w:tcW w:w="2511" w:type="dxa"/>
            <w:vAlign w:val="center"/>
          </w:tcPr>
          <w:p>
            <w:pPr>
              <w:widowControl/>
              <w:adjustRightInd w:val="0"/>
              <w:snapToGrid w:val="0"/>
              <w:spacing w:after="135" w:line="400" w:lineRule="exact"/>
              <w:contextualSpacing/>
              <w:jc w:val="center"/>
              <w:rPr>
                <w:rFonts w:ascii="宋体" w:hAnsi="宋体" w:cs="宋体"/>
                <w:b/>
                <w:kern w:val="0"/>
                <w:sz w:val="24"/>
                <w:szCs w:val="24"/>
              </w:rPr>
            </w:pPr>
            <w:r>
              <w:rPr>
                <w:rFonts w:hint="eastAsia" w:ascii="宋体" w:hAnsi="宋体" w:cs="宋体"/>
                <w:b/>
                <w:kern w:val="0"/>
                <w:sz w:val="24"/>
                <w:szCs w:val="24"/>
              </w:rPr>
              <w:t>类别</w:t>
            </w:r>
          </w:p>
        </w:tc>
        <w:tc>
          <w:tcPr>
            <w:tcW w:w="3175" w:type="dxa"/>
            <w:vAlign w:val="center"/>
          </w:tcPr>
          <w:p>
            <w:pPr>
              <w:widowControl/>
              <w:adjustRightInd w:val="0"/>
              <w:snapToGrid w:val="0"/>
              <w:spacing w:after="135" w:line="400" w:lineRule="exact"/>
              <w:contextualSpacing/>
              <w:jc w:val="center"/>
              <w:rPr>
                <w:rFonts w:ascii="宋体" w:hAnsi="宋体" w:cs="宋体"/>
                <w:b/>
                <w:kern w:val="0"/>
                <w:sz w:val="24"/>
                <w:szCs w:val="24"/>
              </w:rPr>
            </w:pPr>
            <w:r>
              <w:rPr>
                <w:rFonts w:hint="eastAsia" w:ascii="宋体" w:hAnsi="宋体" w:cs="宋体"/>
                <w:b/>
                <w:kern w:val="0"/>
                <w:sz w:val="24"/>
                <w:szCs w:val="24"/>
              </w:rPr>
              <w:t>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2" w:type="dxa"/>
            <w:vMerge w:val="continue"/>
            <w:vAlign w:val="center"/>
          </w:tcPr>
          <w:p>
            <w:pPr>
              <w:widowControl/>
              <w:adjustRightInd w:val="0"/>
              <w:snapToGrid w:val="0"/>
              <w:spacing w:after="135" w:line="400" w:lineRule="exact"/>
              <w:contextualSpacing/>
              <w:jc w:val="center"/>
              <w:rPr>
                <w:rFonts w:ascii="宋体" w:hAnsi="宋体" w:cs="宋体"/>
                <w:kern w:val="0"/>
                <w:sz w:val="24"/>
                <w:szCs w:val="24"/>
              </w:rPr>
            </w:pPr>
          </w:p>
        </w:tc>
        <w:tc>
          <w:tcPr>
            <w:tcW w:w="2511" w:type="dxa"/>
            <w:vAlign w:val="center"/>
          </w:tcPr>
          <w:p>
            <w:pPr>
              <w:widowControl/>
              <w:adjustRightInd w:val="0"/>
              <w:snapToGrid w:val="0"/>
              <w:spacing w:after="135" w:line="400" w:lineRule="exact"/>
              <w:contextualSpacing/>
              <w:jc w:val="center"/>
              <w:rPr>
                <w:rFonts w:ascii="宋体" w:hAnsi="宋体" w:cs="宋体"/>
                <w:kern w:val="0"/>
                <w:sz w:val="24"/>
                <w:szCs w:val="24"/>
              </w:rPr>
            </w:pPr>
            <w:r>
              <w:rPr>
                <w:rFonts w:hint="eastAsia" w:ascii="宋体" w:hAnsi="宋体" w:cs="宋体"/>
                <w:kern w:val="0"/>
                <w:sz w:val="24"/>
                <w:szCs w:val="24"/>
              </w:rPr>
              <w:t>社会学员</w:t>
            </w:r>
          </w:p>
        </w:tc>
        <w:tc>
          <w:tcPr>
            <w:tcW w:w="3175" w:type="dxa"/>
            <w:vAlign w:val="center"/>
          </w:tcPr>
          <w:p>
            <w:pPr>
              <w:widowControl/>
              <w:adjustRightInd w:val="0"/>
              <w:snapToGrid w:val="0"/>
              <w:contextualSpacing/>
              <w:jc w:val="left"/>
              <w:rPr>
                <w:rFonts w:ascii="宋体" w:hAnsi="宋体" w:cs="宋体"/>
                <w:kern w:val="0"/>
                <w:sz w:val="22"/>
                <w:szCs w:val="24"/>
              </w:rPr>
            </w:pPr>
            <w:r>
              <w:rPr>
                <w:rFonts w:hint="eastAsia" w:ascii="宋体" w:hAnsi="宋体" w:cs="宋体"/>
                <w:kern w:val="0"/>
                <w:sz w:val="22"/>
                <w:szCs w:val="24"/>
              </w:rPr>
              <w:t>大专：2900元/月；本科：3000元/月；医院购买养老、医疗、工伤、生育、失业</w:t>
            </w:r>
            <w:r>
              <w:rPr>
                <w:rFonts w:hint="eastAsia" w:ascii="宋体" w:hAnsi="宋体" w:cs="Arial"/>
                <w:sz w:val="22"/>
                <w:szCs w:val="24"/>
                <w:shd w:val="clear" w:color="auto" w:fill="FFFFFF"/>
              </w:rPr>
              <w:t>五大社会保险。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8" w:hRule="atLeast"/>
        </w:trPr>
        <w:tc>
          <w:tcPr>
            <w:tcW w:w="2842" w:type="dxa"/>
            <w:vMerge w:val="continue"/>
            <w:vAlign w:val="center"/>
          </w:tcPr>
          <w:p>
            <w:pPr>
              <w:widowControl/>
              <w:adjustRightInd w:val="0"/>
              <w:snapToGrid w:val="0"/>
              <w:spacing w:after="135" w:line="400" w:lineRule="exact"/>
              <w:contextualSpacing/>
              <w:jc w:val="center"/>
              <w:rPr>
                <w:rFonts w:ascii="宋体" w:hAnsi="宋体" w:cs="宋体"/>
                <w:kern w:val="0"/>
                <w:sz w:val="24"/>
                <w:szCs w:val="24"/>
              </w:rPr>
            </w:pPr>
          </w:p>
        </w:tc>
        <w:tc>
          <w:tcPr>
            <w:tcW w:w="2511" w:type="dxa"/>
            <w:vAlign w:val="center"/>
          </w:tcPr>
          <w:p>
            <w:pPr>
              <w:widowControl/>
              <w:adjustRightInd w:val="0"/>
              <w:snapToGrid w:val="0"/>
              <w:spacing w:after="135" w:line="400" w:lineRule="exact"/>
              <w:contextualSpacing/>
              <w:jc w:val="center"/>
              <w:rPr>
                <w:rFonts w:ascii="宋体" w:hAnsi="宋体" w:cs="宋体"/>
                <w:kern w:val="0"/>
                <w:sz w:val="24"/>
                <w:szCs w:val="24"/>
              </w:rPr>
            </w:pPr>
            <w:r>
              <w:rPr>
                <w:rFonts w:hint="eastAsia" w:ascii="宋体" w:hAnsi="宋体" w:cs="宋体"/>
                <w:kern w:val="0"/>
                <w:sz w:val="24"/>
                <w:szCs w:val="24"/>
              </w:rPr>
              <w:t>其他单位委培学员</w:t>
            </w:r>
          </w:p>
        </w:tc>
        <w:tc>
          <w:tcPr>
            <w:tcW w:w="3175" w:type="dxa"/>
            <w:vAlign w:val="center"/>
          </w:tcPr>
          <w:p>
            <w:pPr>
              <w:widowControl/>
              <w:adjustRightInd w:val="0"/>
              <w:snapToGrid w:val="0"/>
              <w:spacing w:after="135" w:line="400" w:lineRule="exact"/>
              <w:contextualSpacing/>
              <w:jc w:val="left"/>
              <w:rPr>
                <w:rFonts w:ascii="宋体" w:hAnsi="宋体" w:cs="宋体"/>
                <w:kern w:val="0"/>
                <w:sz w:val="24"/>
                <w:szCs w:val="24"/>
              </w:rPr>
            </w:pPr>
            <w:r>
              <w:rPr>
                <w:rFonts w:hint="eastAsia" w:ascii="宋体" w:hAnsi="宋体" w:cs="Arial"/>
                <w:sz w:val="22"/>
                <w:szCs w:val="24"/>
                <w:shd w:val="clear" w:color="auto" w:fill="FFFFFF"/>
              </w:rPr>
              <w:t>1.5万元/年；由聘用单位购买相关保险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2" w:type="dxa"/>
            <w:vMerge w:val="continue"/>
            <w:vAlign w:val="center"/>
          </w:tcPr>
          <w:p>
            <w:pPr>
              <w:widowControl/>
              <w:adjustRightInd w:val="0"/>
              <w:snapToGrid w:val="0"/>
              <w:spacing w:after="135" w:line="400" w:lineRule="exact"/>
              <w:contextualSpacing/>
              <w:jc w:val="center"/>
              <w:rPr>
                <w:rFonts w:ascii="宋体" w:hAnsi="宋体" w:cs="宋体"/>
                <w:kern w:val="0"/>
                <w:sz w:val="24"/>
                <w:szCs w:val="24"/>
              </w:rPr>
            </w:pPr>
          </w:p>
        </w:tc>
        <w:tc>
          <w:tcPr>
            <w:tcW w:w="2511" w:type="dxa"/>
            <w:vAlign w:val="center"/>
          </w:tcPr>
          <w:p>
            <w:pPr>
              <w:widowControl/>
              <w:adjustRightInd w:val="0"/>
              <w:snapToGrid w:val="0"/>
              <w:spacing w:after="135" w:line="400" w:lineRule="exact"/>
              <w:contextualSpacing/>
              <w:jc w:val="center"/>
              <w:rPr>
                <w:rFonts w:ascii="宋体" w:hAnsi="宋体" w:cs="宋体"/>
                <w:kern w:val="0"/>
                <w:sz w:val="24"/>
                <w:szCs w:val="24"/>
              </w:rPr>
            </w:pPr>
            <w:r>
              <w:rPr>
                <w:rFonts w:hint="eastAsia" w:ascii="宋体" w:hAnsi="宋体" w:cs="宋体"/>
                <w:kern w:val="0"/>
                <w:sz w:val="24"/>
                <w:szCs w:val="24"/>
              </w:rPr>
              <w:t>本院委培药师</w:t>
            </w:r>
          </w:p>
        </w:tc>
        <w:tc>
          <w:tcPr>
            <w:tcW w:w="3175" w:type="dxa"/>
            <w:vAlign w:val="center"/>
          </w:tcPr>
          <w:p>
            <w:pPr>
              <w:widowControl/>
              <w:adjustRightInd w:val="0"/>
              <w:snapToGrid w:val="0"/>
              <w:spacing w:after="135" w:line="400" w:lineRule="exact"/>
              <w:contextualSpacing/>
              <w:jc w:val="center"/>
              <w:rPr>
                <w:rFonts w:ascii="宋体" w:hAnsi="宋体" w:cs="宋体"/>
                <w:kern w:val="0"/>
                <w:sz w:val="24"/>
                <w:szCs w:val="24"/>
              </w:rPr>
            </w:pPr>
            <w:r>
              <w:rPr>
                <w:rFonts w:hint="eastAsia" w:ascii="宋体" w:hAnsi="宋体" w:cs="宋体"/>
                <w:kern w:val="0"/>
                <w:sz w:val="24"/>
                <w:szCs w:val="24"/>
              </w:rPr>
              <w:t>参照我院相关政策执行</w:t>
            </w:r>
          </w:p>
        </w:tc>
      </w:tr>
    </w:tbl>
    <w:p>
      <w:pPr>
        <w:widowControl/>
        <w:adjustRightInd w:val="0"/>
        <w:snapToGrid w:val="0"/>
        <w:spacing w:after="135" w:line="400" w:lineRule="exact"/>
        <w:ind w:firstLine="360" w:firstLineChars="150"/>
        <w:contextualSpacing/>
        <w:jc w:val="left"/>
        <w:rPr>
          <w:rFonts w:ascii="宋体" w:hAnsi="宋体" w:cs="Arial"/>
          <w:sz w:val="24"/>
          <w:szCs w:val="24"/>
          <w:shd w:val="clear" w:color="auto" w:fill="FFFFFF"/>
        </w:rPr>
      </w:pPr>
      <w:r>
        <w:rPr>
          <w:rFonts w:hint="eastAsia" w:ascii="宋体" w:hAnsi="宋体" w:cs="Arial"/>
          <w:sz w:val="24"/>
          <w:szCs w:val="24"/>
          <w:shd w:val="clear" w:color="auto" w:fill="FFFFFF"/>
        </w:rPr>
        <w:t>（三）在培训期间，为学员指定带教老师和辅导老师全程指导，保障培训质量；</w:t>
      </w:r>
    </w:p>
    <w:p>
      <w:pPr>
        <w:widowControl/>
        <w:adjustRightInd w:val="0"/>
        <w:snapToGrid w:val="0"/>
        <w:spacing w:after="135" w:line="400" w:lineRule="exact"/>
        <w:ind w:firstLine="360" w:firstLineChars="150"/>
        <w:contextualSpacing/>
        <w:jc w:val="left"/>
        <w:rPr>
          <w:rFonts w:ascii="宋体" w:hAnsi="宋体" w:cs="Arial"/>
          <w:sz w:val="24"/>
          <w:szCs w:val="24"/>
          <w:shd w:val="clear" w:color="auto" w:fill="FFFFFF"/>
        </w:rPr>
      </w:pPr>
      <w:r>
        <w:rPr>
          <w:rFonts w:hint="eastAsia" w:ascii="宋体" w:hAnsi="宋体" w:cs="Arial"/>
          <w:sz w:val="24"/>
          <w:szCs w:val="24"/>
          <w:shd w:val="clear" w:color="auto" w:fill="FFFFFF"/>
        </w:rPr>
        <w:t>（四）</w:t>
      </w:r>
      <w:r>
        <w:rPr>
          <w:rFonts w:hint="eastAsia" w:ascii="宋体" w:hAnsi="宋体" w:cs="宋体"/>
          <w:kern w:val="0"/>
          <w:sz w:val="24"/>
          <w:szCs w:val="24"/>
        </w:rPr>
        <w:t>培训期满后</w:t>
      </w:r>
      <w:r>
        <w:rPr>
          <w:rFonts w:hint="eastAsia" w:ascii="宋体" w:hAnsi="宋体" w:cs="宋体"/>
          <w:sz w:val="24"/>
          <w:szCs w:val="24"/>
        </w:rPr>
        <w:t>考核合格者，由四川</w:t>
      </w:r>
      <w:r>
        <w:rPr>
          <w:rFonts w:ascii="宋体" w:hAnsi="宋体"/>
          <w:sz w:val="24"/>
          <w:szCs w:val="24"/>
        </w:rPr>
        <w:t>省</w:t>
      </w:r>
      <w:r>
        <w:rPr>
          <w:rFonts w:hint="eastAsia" w:ascii="宋体" w:hAnsi="宋体"/>
          <w:sz w:val="24"/>
          <w:szCs w:val="24"/>
        </w:rPr>
        <w:t>卫生和计划生育委员会</w:t>
      </w:r>
      <w:r>
        <w:rPr>
          <w:rFonts w:hint="eastAsia" w:ascii="宋体" w:hAnsi="宋体" w:cs="宋体"/>
          <w:sz w:val="24"/>
          <w:szCs w:val="24"/>
        </w:rPr>
        <w:t>颁发“四川省医疗机构药师规范化培训合格证书” 。</w:t>
      </w:r>
    </w:p>
    <w:p>
      <w:pPr>
        <w:widowControl/>
        <w:adjustRightInd w:val="0"/>
        <w:snapToGrid w:val="0"/>
        <w:spacing w:after="135" w:line="400" w:lineRule="exact"/>
        <w:contextualSpacing/>
        <w:jc w:val="left"/>
        <w:rPr>
          <w:rStyle w:val="12"/>
          <w:rFonts w:ascii="宋体" w:hAnsi="宋体" w:cs="Times New Roman"/>
          <w:bCs w:val="0"/>
          <w:kern w:val="0"/>
          <w:sz w:val="24"/>
          <w:szCs w:val="24"/>
        </w:rPr>
      </w:pPr>
      <w:r>
        <w:rPr>
          <w:rStyle w:val="12"/>
          <w:rFonts w:hint="eastAsia" w:ascii="宋体" w:hAnsi="宋体" w:cs="宋体"/>
          <w:sz w:val="24"/>
          <w:szCs w:val="24"/>
        </w:rPr>
        <w:t>五、招收录取程序</w:t>
      </w:r>
    </w:p>
    <w:p>
      <w:pPr>
        <w:widowControl/>
        <w:adjustRightInd w:val="0"/>
        <w:snapToGrid w:val="0"/>
        <w:spacing w:after="135" w:line="400" w:lineRule="exact"/>
        <w:ind w:firstLine="480" w:firstLineChars="200"/>
        <w:contextualSpacing/>
        <w:jc w:val="left"/>
        <w:rPr>
          <w:rFonts w:ascii="宋体" w:hAnsi="宋体" w:cs="宋体"/>
          <w:kern w:val="0"/>
          <w:sz w:val="24"/>
          <w:szCs w:val="24"/>
        </w:rPr>
      </w:pPr>
      <w:r>
        <w:rPr>
          <w:rFonts w:ascii="宋体" w:hAnsi="宋体" w:cs="宋体"/>
          <w:kern w:val="0"/>
          <w:sz w:val="24"/>
          <w:szCs w:val="24"/>
        </w:rPr>
        <w:t>1</w:t>
      </w:r>
      <w:r>
        <w:rPr>
          <w:rFonts w:hint="eastAsia" w:ascii="宋体" w:hAnsi="宋体" w:cs="宋体"/>
          <w:kern w:val="0"/>
          <w:sz w:val="24"/>
          <w:szCs w:val="24"/>
        </w:rPr>
        <w:t>、报名方式：打开链接</w:t>
      </w:r>
      <w:r>
        <w:rPr>
          <w:rFonts w:ascii="宋体" w:hAnsi="宋体" w:cs="宋体"/>
          <w:kern w:val="0"/>
          <w:sz w:val="24"/>
          <w:szCs w:val="24"/>
        </w:rPr>
        <w:t>https://www.wjx.cn/vj/tUHyrQG.aspx</w:t>
      </w:r>
      <w:r>
        <w:rPr>
          <w:rFonts w:hint="eastAsia" w:ascii="宋体" w:hAnsi="宋体" w:cs="宋体"/>
          <w:kern w:val="0"/>
          <w:sz w:val="24"/>
          <w:szCs w:val="24"/>
        </w:rPr>
        <w:t>或微信扫描二维码填报相关信息即可完成报名，医院将根据学员信息进行初审。</w:t>
      </w:r>
    </w:p>
    <w:p>
      <w:pPr>
        <w:widowControl/>
        <w:adjustRightInd w:val="0"/>
        <w:snapToGrid w:val="0"/>
        <w:spacing w:after="135" w:line="400" w:lineRule="exact"/>
        <w:ind w:firstLine="480" w:firstLineChars="200"/>
        <w:contextualSpacing/>
        <w:jc w:val="left"/>
        <w:rPr>
          <w:rFonts w:ascii="宋体" w:hAnsi="宋体" w:cs="宋体"/>
          <w:kern w:val="0"/>
          <w:sz w:val="24"/>
          <w:szCs w:val="24"/>
        </w:rPr>
      </w:pPr>
    </w:p>
    <w:p>
      <w:pPr>
        <w:widowControl/>
        <w:adjustRightInd w:val="0"/>
        <w:snapToGrid w:val="0"/>
        <w:spacing w:after="135" w:line="400" w:lineRule="exact"/>
        <w:ind w:firstLine="480" w:firstLineChars="200"/>
        <w:contextualSpacing/>
        <w:jc w:val="left"/>
        <w:rPr>
          <w:rFonts w:ascii="宋体" w:hAnsi="宋体" w:cs="宋体"/>
          <w:kern w:val="0"/>
          <w:sz w:val="24"/>
          <w:szCs w:val="24"/>
        </w:rPr>
      </w:pPr>
    </w:p>
    <w:p>
      <w:pPr>
        <w:widowControl/>
        <w:adjustRightInd w:val="0"/>
        <w:snapToGrid w:val="0"/>
        <w:spacing w:after="135" w:line="400" w:lineRule="exact"/>
        <w:ind w:firstLine="480" w:firstLineChars="200"/>
        <w:contextualSpacing/>
        <w:jc w:val="left"/>
        <w:rPr>
          <w:rFonts w:ascii="宋体" w:hAnsi="宋体" w:cs="宋体"/>
          <w:kern w:val="0"/>
          <w:sz w:val="24"/>
          <w:szCs w:val="24"/>
        </w:rPr>
      </w:pPr>
    </w:p>
    <w:p>
      <w:pPr>
        <w:widowControl/>
        <w:adjustRightInd w:val="0"/>
        <w:snapToGrid w:val="0"/>
        <w:spacing w:after="135" w:line="400" w:lineRule="exact"/>
        <w:ind w:firstLine="480" w:firstLineChars="200"/>
        <w:contextualSpacing/>
        <w:jc w:val="left"/>
        <w:rPr>
          <w:rFonts w:ascii="宋体" w:hAnsi="宋体" w:cs="宋体"/>
          <w:kern w:val="0"/>
          <w:sz w:val="24"/>
          <w:szCs w:val="24"/>
        </w:rPr>
      </w:pPr>
      <w:r>
        <w:rPr>
          <w:rFonts w:hint="eastAsia" w:ascii="宋体" w:hAnsi="宋体" w:cs="宋体"/>
          <w:kern w:val="0"/>
          <w:sz w:val="24"/>
          <w:szCs w:val="24"/>
        </w:rPr>
        <w:drawing>
          <wp:anchor distT="0" distB="0" distL="114300" distR="114300" simplePos="0" relativeHeight="251661312" behindDoc="0" locked="0" layoutInCell="1" allowOverlap="1">
            <wp:simplePos x="0" y="0"/>
            <wp:positionH relativeFrom="column">
              <wp:posOffset>1663700</wp:posOffset>
            </wp:positionH>
            <wp:positionV relativeFrom="paragraph">
              <wp:posOffset>106680</wp:posOffset>
            </wp:positionV>
            <wp:extent cx="1789430" cy="1799590"/>
            <wp:effectExtent l="19050" t="0" r="1270" b="0"/>
            <wp:wrapSquare wrapText="bothSides"/>
            <wp:docPr id="7" name="图片 4" descr="D:\用户目录\下载\qrcode (1).jpg"/>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 name="图片 4" descr="D:\用户目录\下载\qrcode (1).jpg"/>
                    <pic:cNvPicPr>
                      <a:picLocks noChangeAspect="true" noChangeArrowheads="true"/>
                    </pic:cNvPicPr>
                  </pic:nvPicPr>
                  <pic:blipFill>
                    <a:blip r:embed="rId6"/>
                    <a:srcRect l="10888" t="10954" r="9194" b="8834"/>
                    <a:stretch>
                      <a:fillRect/>
                    </a:stretch>
                  </pic:blipFill>
                  <pic:spPr>
                    <a:xfrm>
                      <a:off x="0" y="0"/>
                      <a:ext cx="1789430" cy="1799590"/>
                    </a:xfrm>
                    <a:prstGeom prst="rect">
                      <a:avLst/>
                    </a:prstGeom>
                    <a:noFill/>
                    <a:ln w="9525">
                      <a:noFill/>
                      <a:miter lim="800000"/>
                      <a:headEnd/>
                      <a:tailEnd/>
                    </a:ln>
                  </pic:spPr>
                </pic:pic>
              </a:graphicData>
            </a:graphic>
          </wp:anchor>
        </w:drawing>
      </w:r>
    </w:p>
    <w:p>
      <w:pPr>
        <w:widowControl/>
        <w:adjustRightInd w:val="0"/>
        <w:snapToGrid w:val="0"/>
        <w:spacing w:after="135" w:line="400" w:lineRule="exact"/>
        <w:ind w:firstLine="480" w:firstLineChars="200"/>
        <w:contextualSpacing/>
        <w:jc w:val="left"/>
        <w:rPr>
          <w:rFonts w:ascii="宋体" w:hAnsi="宋体" w:cs="宋体"/>
          <w:kern w:val="0"/>
          <w:sz w:val="24"/>
          <w:szCs w:val="24"/>
        </w:rPr>
      </w:pPr>
    </w:p>
    <w:p>
      <w:pPr>
        <w:widowControl/>
        <w:adjustRightInd w:val="0"/>
        <w:snapToGrid w:val="0"/>
        <w:spacing w:after="135" w:line="400" w:lineRule="exact"/>
        <w:ind w:firstLine="480" w:firstLineChars="200"/>
        <w:contextualSpacing/>
        <w:jc w:val="left"/>
        <w:rPr>
          <w:rFonts w:ascii="宋体" w:hAnsi="宋体" w:cs="宋体"/>
          <w:kern w:val="0"/>
          <w:sz w:val="24"/>
          <w:szCs w:val="24"/>
        </w:rPr>
      </w:pPr>
    </w:p>
    <w:p>
      <w:pPr>
        <w:widowControl/>
        <w:adjustRightInd w:val="0"/>
        <w:snapToGrid w:val="0"/>
        <w:spacing w:after="135" w:line="400" w:lineRule="exact"/>
        <w:ind w:firstLine="480" w:firstLineChars="200"/>
        <w:contextualSpacing/>
        <w:jc w:val="left"/>
        <w:rPr>
          <w:rFonts w:ascii="宋体" w:hAnsi="宋体" w:cs="宋体"/>
          <w:kern w:val="0"/>
          <w:sz w:val="24"/>
          <w:szCs w:val="24"/>
        </w:rPr>
      </w:pPr>
    </w:p>
    <w:p>
      <w:pPr>
        <w:widowControl/>
        <w:adjustRightInd w:val="0"/>
        <w:snapToGrid w:val="0"/>
        <w:spacing w:after="135" w:line="400" w:lineRule="exact"/>
        <w:ind w:firstLine="480" w:firstLineChars="200"/>
        <w:contextualSpacing/>
        <w:jc w:val="left"/>
        <w:rPr>
          <w:rFonts w:ascii="宋体" w:hAnsi="宋体" w:cs="宋体"/>
          <w:kern w:val="0"/>
          <w:sz w:val="24"/>
          <w:szCs w:val="24"/>
        </w:rPr>
      </w:pPr>
    </w:p>
    <w:p>
      <w:pPr>
        <w:widowControl/>
        <w:adjustRightInd w:val="0"/>
        <w:snapToGrid w:val="0"/>
        <w:spacing w:after="135" w:line="400" w:lineRule="exact"/>
        <w:ind w:firstLine="480" w:firstLineChars="200"/>
        <w:contextualSpacing/>
        <w:jc w:val="left"/>
        <w:rPr>
          <w:rFonts w:ascii="宋体" w:hAnsi="宋体" w:cs="宋体"/>
          <w:kern w:val="0"/>
          <w:sz w:val="24"/>
          <w:szCs w:val="24"/>
        </w:rPr>
      </w:pPr>
    </w:p>
    <w:p>
      <w:pPr>
        <w:widowControl/>
        <w:adjustRightInd w:val="0"/>
        <w:snapToGrid w:val="0"/>
        <w:spacing w:after="135" w:line="400" w:lineRule="exact"/>
        <w:ind w:firstLine="480" w:firstLineChars="200"/>
        <w:contextualSpacing/>
        <w:jc w:val="left"/>
        <w:rPr>
          <w:rFonts w:ascii="宋体" w:hAnsi="宋体" w:cs="宋体"/>
          <w:kern w:val="0"/>
          <w:sz w:val="24"/>
          <w:szCs w:val="24"/>
        </w:rPr>
      </w:pPr>
    </w:p>
    <w:p>
      <w:pPr>
        <w:widowControl/>
        <w:adjustRightInd w:val="0"/>
        <w:snapToGrid w:val="0"/>
        <w:spacing w:after="135" w:line="400" w:lineRule="exact"/>
        <w:ind w:firstLine="480" w:firstLineChars="200"/>
        <w:contextualSpacing/>
        <w:jc w:val="left"/>
        <w:rPr>
          <w:rFonts w:ascii="宋体" w:hAnsi="宋体" w:cs="宋体"/>
          <w:kern w:val="0"/>
          <w:sz w:val="24"/>
          <w:szCs w:val="24"/>
        </w:rPr>
      </w:pPr>
    </w:p>
    <w:p>
      <w:pPr>
        <w:widowControl/>
        <w:adjustRightInd w:val="0"/>
        <w:snapToGrid w:val="0"/>
        <w:spacing w:after="135" w:line="400" w:lineRule="exact"/>
        <w:ind w:firstLine="480" w:firstLineChars="200"/>
        <w:contextualSpacing/>
        <w:jc w:val="left"/>
        <w:rPr>
          <w:rFonts w:ascii="宋体" w:hAnsi="宋体" w:cs="宋体"/>
          <w:kern w:val="0"/>
          <w:sz w:val="24"/>
          <w:szCs w:val="24"/>
        </w:rPr>
      </w:pPr>
      <w:r>
        <w:rPr>
          <w:rFonts w:hint="eastAsia" w:ascii="宋体" w:hAnsi="宋体" w:cs="宋体"/>
          <w:kern w:val="0"/>
          <w:sz w:val="24"/>
          <w:szCs w:val="24"/>
        </w:rPr>
        <w:t>2、报名成功后：微信扫描二维码或输入362798274加QQ群，后期面试信息将通过群发布。</w:t>
      </w:r>
    </w:p>
    <w:p>
      <w:pPr>
        <w:widowControl/>
        <w:adjustRightInd w:val="0"/>
        <w:snapToGrid w:val="0"/>
        <w:spacing w:after="135" w:line="400" w:lineRule="exact"/>
        <w:ind w:firstLine="480" w:firstLineChars="200"/>
        <w:contextualSpacing/>
        <w:jc w:val="left"/>
        <w:rPr>
          <w:rFonts w:ascii="宋体" w:hAnsi="宋体" w:cs="宋体"/>
          <w:kern w:val="0"/>
          <w:sz w:val="24"/>
          <w:szCs w:val="24"/>
        </w:rPr>
      </w:pPr>
      <w:r>
        <w:rPr>
          <w:rFonts w:ascii="宋体" w:hAnsi="宋体" w:cs="宋体"/>
          <w:kern w:val="0"/>
          <w:sz w:val="24"/>
          <w:szCs w:val="24"/>
        </w:rPr>
        <w:drawing>
          <wp:anchor distT="0" distB="0" distL="114300" distR="114300" simplePos="0" relativeHeight="251662336" behindDoc="0" locked="0" layoutInCell="1" allowOverlap="1">
            <wp:simplePos x="0" y="0"/>
            <wp:positionH relativeFrom="column">
              <wp:posOffset>1619885</wp:posOffset>
            </wp:positionH>
            <wp:positionV relativeFrom="paragraph">
              <wp:posOffset>50800</wp:posOffset>
            </wp:positionV>
            <wp:extent cx="1835150" cy="1802765"/>
            <wp:effectExtent l="19050" t="0" r="0" b="0"/>
            <wp:wrapSquare wrapText="bothSides"/>
            <wp:docPr id="8" name="图片 5" descr="C:\Users\Administrator\Desktop\绵阳三院2022年规范化培训药师招生群群二维码.png"/>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5" descr="C:\Users\Administrator\Desktop\绵阳三院2022年规范化培训药师招生群群二维码.png"/>
                    <pic:cNvPicPr>
                      <a:picLocks noChangeAspect="true" noChangeArrowheads="true"/>
                    </pic:cNvPicPr>
                  </pic:nvPicPr>
                  <pic:blipFill>
                    <a:blip r:embed="rId7"/>
                    <a:srcRect b="23750"/>
                    <a:stretch>
                      <a:fillRect/>
                    </a:stretch>
                  </pic:blipFill>
                  <pic:spPr>
                    <a:xfrm>
                      <a:off x="0" y="0"/>
                      <a:ext cx="1835150" cy="1802765"/>
                    </a:xfrm>
                    <a:prstGeom prst="rect">
                      <a:avLst/>
                    </a:prstGeom>
                    <a:noFill/>
                    <a:ln w="9525">
                      <a:noFill/>
                      <a:miter lim="800000"/>
                      <a:headEnd/>
                      <a:tailEnd/>
                    </a:ln>
                  </pic:spPr>
                </pic:pic>
              </a:graphicData>
            </a:graphic>
          </wp:anchor>
        </w:drawing>
      </w:r>
    </w:p>
    <w:p>
      <w:pPr>
        <w:widowControl/>
        <w:adjustRightInd w:val="0"/>
        <w:snapToGrid w:val="0"/>
        <w:spacing w:after="135" w:line="400" w:lineRule="exact"/>
        <w:ind w:firstLine="480" w:firstLineChars="200"/>
        <w:contextualSpacing/>
        <w:jc w:val="left"/>
        <w:rPr>
          <w:rFonts w:ascii="宋体" w:hAnsi="宋体" w:cs="宋体"/>
          <w:kern w:val="0"/>
          <w:sz w:val="24"/>
          <w:szCs w:val="24"/>
        </w:rPr>
      </w:pPr>
    </w:p>
    <w:p>
      <w:pPr>
        <w:widowControl/>
        <w:adjustRightInd w:val="0"/>
        <w:snapToGrid w:val="0"/>
        <w:spacing w:after="135" w:line="400" w:lineRule="exact"/>
        <w:ind w:firstLine="480" w:firstLineChars="200"/>
        <w:contextualSpacing/>
        <w:jc w:val="left"/>
        <w:rPr>
          <w:rFonts w:ascii="宋体" w:hAnsi="宋体" w:cs="宋体"/>
          <w:kern w:val="0"/>
          <w:sz w:val="24"/>
          <w:szCs w:val="24"/>
        </w:rPr>
      </w:pPr>
    </w:p>
    <w:p>
      <w:pPr>
        <w:widowControl/>
        <w:adjustRightInd w:val="0"/>
        <w:snapToGrid w:val="0"/>
        <w:spacing w:after="135" w:line="400" w:lineRule="exact"/>
        <w:ind w:firstLine="480" w:firstLineChars="200"/>
        <w:contextualSpacing/>
        <w:jc w:val="left"/>
        <w:rPr>
          <w:rFonts w:ascii="宋体" w:hAnsi="宋体" w:cs="宋体"/>
          <w:kern w:val="0"/>
          <w:sz w:val="24"/>
          <w:szCs w:val="24"/>
        </w:rPr>
      </w:pPr>
    </w:p>
    <w:p>
      <w:pPr>
        <w:widowControl/>
        <w:adjustRightInd w:val="0"/>
        <w:snapToGrid w:val="0"/>
        <w:spacing w:after="135" w:line="400" w:lineRule="exact"/>
        <w:ind w:firstLine="480" w:firstLineChars="200"/>
        <w:contextualSpacing/>
        <w:jc w:val="left"/>
        <w:rPr>
          <w:rFonts w:ascii="宋体" w:hAnsi="宋体" w:cs="宋体"/>
          <w:kern w:val="0"/>
          <w:sz w:val="24"/>
          <w:szCs w:val="24"/>
        </w:rPr>
      </w:pPr>
    </w:p>
    <w:p>
      <w:pPr>
        <w:widowControl/>
        <w:adjustRightInd w:val="0"/>
        <w:snapToGrid w:val="0"/>
        <w:spacing w:after="135" w:line="400" w:lineRule="exact"/>
        <w:ind w:firstLine="480" w:firstLineChars="200"/>
        <w:contextualSpacing/>
        <w:jc w:val="left"/>
        <w:rPr>
          <w:rFonts w:ascii="宋体" w:hAnsi="宋体" w:cs="宋体"/>
          <w:kern w:val="0"/>
          <w:sz w:val="24"/>
          <w:szCs w:val="24"/>
        </w:rPr>
      </w:pPr>
    </w:p>
    <w:p>
      <w:pPr>
        <w:widowControl/>
        <w:adjustRightInd w:val="0"/>
        <w:snapToGrid w:val="0"/>
        <w:spacing w:after="135" w:line="400" w:lineRule="exact"/>
        <w:ind w:firstLine="480" w:firstLineChars="200"/>
        <w:contextualSpacing/>
        <w:jc w:val="left"/>
        <w:rPr>
          <w:rFonts w:ascii="宋体" w:hAnsi="宋体" w:cs="宋体"/>
          <w:kern w:val="0"/>
          <w:sz w:val="24"/>
          <w:szCs w:val="24"/>
        </w:rPr>
      </w:pPr>
    </w:p>
    <w:p>
      <w:pPr>
        <w:widowControl/>
        <w:adjustRightInd w:val="0"/>
        <w:snapToGrid w:val="0"/>
        <w:spacing w:after="135" w:line="400" w:lineRule="exact"/>
        <w:ind w:firstLine="480" w:firstLineChars="200"/>
        <w:contextualSpacing/>
        <w:jc w:val="left"/>
        <w:rPr>
          <w:rFonts w:ascii="宋体" w:hAnsi="宋体" w:cs="宋体"/>
          <w:kern w:val="0"/>
          <w:sz w:val="24"/>
          <w:szCs w:val="24"/>
        </w:rPr>
      </w:pPr>
    </w:p>
    <w:p>
      <w:pPr>
        <w:widowControl/>
        <w:adjustRightInd w:val="0"/>
        <w:snapToGrid w:val="0"/>
        <w:spacing w:after="135" w:line="400" w:lineRule="exact"/>
        <w:ind w:firstLine="480" w:firstLineChars="200"/>
        <w:contextualSpacing/>
        <w:rPr>
          <w:rFonts w:ascii="宋体" w:hAnsi="宋体" w:cs="宋体"/>
          <w:kern w:val="0"/>
          <w:sz w:val="24"/>
          <w:szCs w:val="24"/>
        </w:rPr>
      </w:pPr>
      <w:r>
        <w:rPr>
          <w:rFonts w:hint="eastAsia" w:ascii="宋体" w:hAnsi="宋体" w:cs="宋体"/>
          <w:kern w:val="0"/>
          <w:sz w:val="24"/>
          <w:szCs w:val="24"/>
        </w:rPr>
        <w:t>3、资格审查与综合面试：考核时间为4月下旬，详细安排见QQ群公告通知。资格审查须提交材料包括：（1）教育部学历证书电子注册备案表（学信网可查，</w:t>
      </w:r>
      <w:r>
        <w:rPr>
          <w:rFonts w:hint="eastAsia" w:ascii="宋体" w:hAnsi="宋体" w:cs="宋体"/>
          <w:kern w:val="0"/>
          <w:sz w:val="24"/>
          <w:szCs w:val="24"/>
          <w:highlight w:val="yellow"/>
        </w:rPr>
        <w:t>必须项</w:t>
      </w:r>
      <w:r>
        <w:rPr>
          <w:rFonts w:hint="eastAsia" w:ascii="宋体" w:hAnsi="宋体" w:cs="宋体"/>
          <w:kern w:val="0"/>
          <w:sz w:val="24"/>
          <w:szCs w:val="24"/>
        </w:rPr>
        <w:t>）（2）报名表（1份，</w:t>
      </w:r>
      <w:r>
        <w:rPr>
          <w:rFonts w:hint="eastAsia" w:ascii="宋体" w:hAnsi="宋体" w:cs="宋体"/>
          <w:kern w:val="0"/>
          <w:sz w:val="24"/>
          <w:szCs w:val="24"/>
          <w:highlight w:val="yellow"/>
        </w:rPr>
        <w:t>必须项</w:t>
      </w:r>
      <w:r>
        <w:rPr>
          <w:rFonts w:hint="eastAsia" w:ascii="宋体" w:hAnsi="宋体" w:cs="宋体"/>
          <w:kern w:val="0"/>
          <w:sz w:val="24"/>
          <w:szCs w:val="24"/>
        </w:rPr>
        <w:t>）（点击下载附件1：https://pan.baidu.com/s/1i3ujV1WLJvvLCouNhXd13A ，提取码：38ow）；（3）个人简历（1份，</w:t>
      </w:r>
      <w:r>
        <w:rPr>
          <w:rFonts w:hint="eastAsia" w:ascii="宋体" w:hAnsi="宋体" w:cs="宋体"/>
          <w:kern w:val="0"/>
          <w:sz w:val="24"/>
          <w:szCs w:val="24"/>
          <w:highlight w:val="yellow"/>
        </w:rPr>
        <w:t>必须项</w:t>
      </w:r>
      <w:r>
        <w:rPr>
          <w:rFonts w:hint="eastAsia" w:ascii="宋体" w:hAnsi="宋体" w:cs="宋体"/>
          <w:kern w:val="0"/>
          <w:sz w:val="24"/>
          <w:szCs w:val="24"/>
        </w:rPr>
        <w:t>）；（4）身份证复印件（1份，</w:t>
      </w:r>
      <w:r>
        <w:rPr>
          <w:rFonts w:hint="eastAsia" w:ascii="宋体" w:hAnsi="宋体" w:cs="宋体"/>
          <w:kern w:val="0"/>
          <w:sz w:val="24"/>
          <w:szCs w:val="24"/>
          <w:highlight w:val="yellow"/>
        </w:rPr>
        <w:t>必须项</w:t>
      </w:r>
      <w:r>
        <w:rPr>
          <w:rFonts w:hint="eastAsia" w:ascii="宋体" w:hAnsi="宋体" w:cs="宋体"/>
          <w:kern w:val="0"/>
          <w:sz w:val="24"/>
          <w:szCs w:val="24"/>
        </w:rPr>
        <w:t>）；（5）毕业证、学位证书原件及复印件（1份，</w:t>
      </w:r>
      <w:r>
        <w:rPr>
          <w:rFonts w:hint="eastAsia" w:ascii="宋体" w:hAnsi="宋体" w:cs="宋体"/>
          <w:kern w:val="0"/>
          <w:sz w:val="24"/>
          <w:szCs w:val="24"/>
          <w:highlight w:val="yellow"/>
        </w:rPr>
        <w:t>有则提供</w:t>
      </w:r>
      <w:r>
        <w:rPr>
          <w:rFonts w:hint="eastAsia" w:ascii="宋体" w:hAnsi="宋体" w:cs="宋体"/>
          <w:kern w:val="0"/>
          <w:sz w:val="24"/>
          <w:szCs w:val="24"/>
        </w:rPr>
        <w:t>）；（6）药师资格证（</w:t>
      </w:r>
      <w:r>
        <w:rPr>
          <w:rFonts w:hint="eastAsia" w:ascii="宋体" w:hAnsi="宋体" w:cs="宋体"/>
          <w:kern w:val="0"/>
          <w:sz w:val="24"/>
          <w:szCs w:val="24"/>
          <w:highlight w:val="yellow"/>
        </w:rPr>
        <w:t>有则提供</w:t>
      </w:r>
      <w:r>
        <w:rPr>
          <w:rFonts w:hint="eastAsia" w:ascii="宋体" w:hAnsi="宋体" w:cs="宋体"/>
          <w:kern w:val="0"/>
          <w:sz w:val="24"/>
          <w:szCs w:val="24"/>
        </w:rPr>
        <w:t>）；（7）英语四六级等级证书或成绩单复印件1份（</w:t>
      </w:r>
      <w:r>
        <w:rPr>
          <w:rFonts w:hint="eastAsia" w:ascii="宋体" w:hAnsi="宋体" w:cs="宋体"/>
          <w:kern w:val="0"/>
          <w:sz w:val="24"/>
          <w:szCs w:val="24"/>
          <w:highlight w:val="yellow"/>
        </w:rPr>
        <w:t>有则提供</w:t>
      </w:r>
      <w:r>
        <w:rPr>
          <w:rFonts w:hint="eastAsia" w:ascii="宋体" w:hAnsi="宋体" w:cs="宋体"/>
          <w:kern w:val="0"/>
          <w:sz w:val="24"/>
          <w:szCs w:val="24"/>
        </w:rPr>
        <w:t>）；（8）单位委托培训学员提供</w:t>
      </w:r>
      <w:r>
        <w:rPr>
          <w:rFonts w:ascii="宋体" w:hAnsi="宋体" w:cs="宋体"/>
          <w:kern w:val="0"/>
          <w:sz w:val="24"/>
          <w:szCs w:val="24"/>
        </w:rPr>
        <w:t>加盖单位公章</w:t>
      </w:r>
      <w:r>
        <w:rPr>
          <w:rFonts w:hint="eastAsia" w:ascii="宋体" w:hAnsi="宋体" w:cs="宋体"/>
          <w:kern w:val="0"/>
          <w:sz w:val="24"/>
          <w:szCs w:val="24"/>
        </w:rPr>
        <w:t>的送培证明（</w:t>
      </w:r>
      <w:r>
        <w:rPr>
          <w:rFonts w:hint="eastAsia" w:ascii="宋体" w:hAnsi="宋体" w:cs="宋体"/>
          <w:kern w:val="0"/>
          <w:sz w:val="24"/>
          <w:szCs w:val="24"/>
          <w:highlight w:val="yellow"/>
        </w:rPr>
        <w:t>有则提供</w:t>
      </w:r>
      <w:r>
        <w:rPr>
          <w:rFonts w:hint="eastAsia" w:ascii="宋体" w:hAnsi="宋体" w:cs="宋体"/>
          <w:kern w:val="0"/>
          <w:sz w:val="24"/>
          <w:szCs w:val="24"/>
        </w:rPr>
        <w:t xml:space="preserve">，点击下载附件2：https://pan.baidu.com/s/1FuBNuS4IhdYxHJT6SLM1mg 提取码：vasm ）。综合面试分为笔试和面试，由绵阳市第三人民医院药学部统一组织进行。 </w:t>
      </w:r>
    </w:p>
    <w:p>
      <w:pPr>
        <w:widowControl/>
        <w:adjustRightInd w:val="0"/>
        <w:snapToGrid w:val="0"/>
        <w:spacing w:after="135" w:line="400" w:lineRule="exact"/>
        <w:ind w:firstLine="480" w:firstLineChars="200"/>
        <w:contextualSpacing/>
        <w:jc w:val="left"/>
        <w:rPr>
          <w:rFonts w:ascii="宋体" w:hAnsi="宋体" w:cs="宋体"/>
          <w:kern w:val="0"/>
          <w:sz w:val="24"/>
          <w:szCs w:val="24"/>
        </w:rPr>
      </w:pPr>
      <w:r>
        <w:rPr>
          <w:rFonts w:hint="eastAsia" w:ascii="宋体" w:hAnsi="宋体" w:cs="宋体"/>
          <w:kern w:val="0"/>
          <w:sz w:val="24"/>
          <w:szCs w:val="24"/>
        </w:rPr>
        <w:t>4、根据综合面试成绩和体检结果择优录取，</w:t>
      </w:r>
      <w:r>
        <w:rPr>
          <w:rFonts w:ascii="宋体" w:hAnsi="宋体" w:cs="宋体"/>
          <w:kern w:val="0"/>
          <w:sz w:val="24"/>
          <w:szCs w:val="24"/>
        </w:rPr>
        <w:t>凡弄虚作假者，一经发现立即取消培训资格。</w:t>
      </w:r>
    </w:p>
    <w:p>
      <w:pPr>
        <w:widowControl/>
        <w:adjustRightInd w:val="0"/>
        <w:snapToGrid w:val="0"/>
        <w:spacing w:after="135" w:line="400" w:lineRule="exact"/>
        <w:ind w:firstLine="480" w:firstLineChars="200"/>
        <w:contextualSpacing/>
        <w:jc w:val="left"/>
        <w:rPr>
          <w:rFonts w:ascii="宋体" w:hAnsi="宋体" w:cs="宋体"/>
          <w:kern w:val="0"/>
          <w:sz w:val="24"/>
          <w:szCs w:val="24"/>
        </w:rPr>
      </w:pPr>
      <w:r>
        <w:rPr>
          <w:rFonts w:hint="eastAsia" w:ascii="宋体" w:hAnsi="宋体" w:cs="宋体"/>
          <w:kern w:val="0"/>
          <w:sz w:val="24"/>
          <w:szCs w:val="24"/>
        </w:rPr>
        <w:t>5、体检：拟录取学员由医院统一组织体检，费用自理。</w:t>
      </w:r>
    </w:p>
    <w:p>
      <w:pPr>
        <w:widowControl/>
        <w:adjustRightInd w:val="0"/>
        <w:snapToGrid w:val="0"/>
        <w:spacing w:after="135" w:line="400" w:lineRule="exact"/>
        <w:contextualSpacing/>
        <w:jc w:val="left"/>
        <w:rPr>
          <w:rStyle w:val="12"/>
          <w:rFonts w:ascii="宋体" w:hAnsi="宋体" w:cs="Times New Roman"/>
          <w:b w:val="0"/>
          <w:bCs w:val="0"/>
          <w:kern w:val="0"/>
          <w:sz w:val="24"/>
          <w:szCs w:val="24"/>
        </w:rPr>
      </w:pPr>
      <w:r>
        <w:rPr>
          <w:rStyle w:val="12"/>
          <w:rFonts w:hint="eastAsia" w:ascii="宋体" w:hAnsi="宋体" w:cs="宋体"/>
          <w:sz w:val="24"/>
          <w:szCs w:val="24"/>
        </w:rPr>
        <w:t>六、</w:t>
      </w:r>
      <w:r>
        <w:rPr>
          <w:rStyle w:val="12"/>
          <w:rFonts w:hint="eastAsia" w:ascii="宋体" w:hAnsi="宋体" w:cs="宋体"/>
          <w:b w:val="0"/>
          <w:bCs w:val="0"/>
          <w:sz w:val="24"/>
          <w:szCs w:val="24"/>
        </w:rPr>
        <w:t>如遇国家或四川省医院药师规范化培训相关政策调整，各规培药师及送培单位应服从新法规或新政策。</w:t>
      </w:r>
    </w:p>
    <w:p>
      <w:pPr>
        <w:widowControl/>
        <w:adjustRightInd w:val="0"/>
        <w:snapToGrid w:val="0"/>
        <w:spacing w:after="135" w:line="400" w:lineRule="exact"/>
        <w:contextualSpacing/>
        <w:jc w:val="left"/>
        <w:rPr>
          <w:rFonts w:ascii="宋体" w:hAnsi="宋体" w:cs="Times New Roman"/>
          <w:kern w:val="0"/>
          <w:sz w:val="24"/>
          <w:szCs w:val="24"/>
        </w:rPr>
      </w:pPr>
      <w:r>
        <w:rPr>
          <w:rStyle w:val="12"/>
          <w:rFonts w:hint="eastAsia" w:ascii="宋体" w:hAnsi="宋体" w:cs="宋体"/>
          <w:sz w:val="24"/>
          <w:szCs w:val="24"/>
        </w:rPr>
        <w:t>七、</w:t>
      </w:r>
      <w:r>
        <w:rPr>
          <w:rFonts w:hint="eastAsia" w:ascii="宋体" w:hAnsi="宋体" w:cs="宋体"/>
          <w:kern w:val="0"/>
          <w:sz w:val="24"/>
          <w:szCs w:val="24"/>
        </w:rPr>
        <w:t>欢迎广大药学生报考我院药师规范化培训。</w:t>
      </w:r>
    </w:p>
    <w:p>
      <w:pPr>
        <w:widowControl/>
        <w:adjustRightInd w:val="0"/>
        <w:snapToGrid w:val="0"/>
        <w:spacing w:after="135" w:line="400" w:lineRule="exact"/>
        <w:ind w:firstLine="200"/>
        <w:contextualSpacing/>
        <w:rPr>
          <w:rFonts w:ascii="宋体" w:hAnsi="宋体" w:cs="Times New Roman"/>
          <w:kern w:val="0"/>
          <w:sz w:val="24"/>
          <w:szCs w:val="24"/>
        </w:rPr>
      </w:pPr>
      <w:r>
        <w:rPr>
          <w:rFonts w:hint="eastAsia" w:ascii="宋体" w:hAnsi="宋体" w:cs="宋体"/>
          <w:kern w:val="0"/>
          <w:sz w:val="24"/>
          <w:szCs w:val="24"/>
        </w:rPr>
        <w:t xml:space="preserve">　咨询电话：郭老师 0816-2281067 </w:t>
      </w:r>
    </w:p>
    <w:p>
      <w:pPr>
        <w:widowControl/>
        <w:adjustRightInd w:val="0"/>
        <w:snapToGrid w:val="0"/>
        <w:spacing w:after="135" w:line="400" w:lineRule="exact"/>
        <w:ind w:firstLine="436" w:firstLineChars="182"/>
        <w:contextualSpacing/>
        <w:rPr>
          <w:rFonts w:ascii="宋体" w:hAnsi="宋体" w:cs="宋体"/>
          <w:kern w:val="0"/>
          <w:sz w:val="24"/>
          <w:szCs w:val="24"/>
        </w:rPr>
      </w:pPr>
      <w:r>
        <w:rPr>
          <w:rFonts w:hint="eastAsia" w:ascii="宋体" w:hAnsi="宋体" w:cs="宋体"/>
          <w:kern w:val="0"/>
          <w:sz w:val="24"/>
          <w:szCs w:val="24"/>
        </w:rPr>
        <w:t>地址：绵阳市游仙区剑南路东段</w:t>
      </w:r>
      <w:r>
        <w:rPr>
          <w:rFonts w:ascii="宋体" w:hAnsi="宋体" w:cs="宋体"/>
          <w:kern w:val="0"/>
          <w:sz w:val="24"/>
          <w:szCs w:val="24"/>
        </w:rPr>
        <w:t>190</w:t>
      </w:r>
      <w:r>
        <w:rPr>
          <w:rFonts w:hint="eastAsia" w:ascii="宋体" w:hAnsi="宋体" w:cs="宋体"/>
          <w:kern w:val="0"/>
          <w:sz w:val="24"/>
          <w:szCs w:val="24"/>
        </w:rPr>
        <w:t>号，绵阳市第三人民医院医技楼二楼药学部办公室</w:t>
      </w:r>
    </w:p>
    <w:p>
      <w:pPr>
        <w:pStyle w:val="7"/>
        <w:shd w:val="clear" w:color="auto" w:fill="FFFFFF"/>
        <w:snapToGrid w:val="0"/>
        <w:spacing w:line="400" w:lineRule="exact"/>
        <w:contextualSpacing/>
        <w:jc w:val="right"/>
        <w:rPr>
          <w:rFonts w:cs="Times New Roman"/>
        </w:rPr>
      </w:pPr>
      <w:r>
        <w:rPr>
          <w:rFonts w:hint="eastAsia"/>
        </w:rPr>
        <w:t>绵阳市第三人民医院</w:t>
      </w:r>
    </w:p>
    <w:p>
      <w:pPr>
        <w:pStyle w:val="7"/>
        <w:shd w:val="clear" w:color="auto" w:fill="FFFFFF"/>
        <w:snapToGrid w:val="0"/>
        <w:spacing w:line="400" w:lineRule="exact"/>
        <w:contextualSpacing/>
        <w:jc w:val="right"/>
        <w:rPr>
          <w:rFonts w:cs="Times New Roman"/>
        </w:rPr>
      </w:pPr>
      <w:r>
        <w:t>20</w:t>
      </w:r>
      <w:r>
        <w:rPr>
          <w:rFonts w:hint="eastAsia"/>
        </w:rPr>
        <w:t>21年3月8日</w:t>
      </w:r>
    </w:p>
    <w:sectPr>
      <w:footerReference r:id="rId3" w:type="default"/>
      <w:pgSz w:w="11906" w:h="16838"/>
      <w:pgMar w:top="1021" w:right="1797" w:bottom="102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Arial">
    <w:altName w:val="DejaVu Sans"/>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91205"/>
      <w:docPartObj>
        <w:docPartGallery w:val="AutoText"/>
      </w:docPartObj>
    </w:sdtPr>
    <w:sdtContent>
      <w:p>
        <w:pPr>
          <w:pStyle w:val="5"/>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true"/>
  <w:bordersDoNotSurroundFooter w:val="true"/>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Y_MEDREF_DOCUID" w:val="{BFF82ED7-35F2-4D2E-9B0B-764946F54CEF}"/>
    <w:docVar w:name="KY_MEDREF_VERSION" w:val="3"/>
  </w:docVars>
  <w:rsids>
    <w:rsidRoot w:val="005B6E79"/>
    <w:rsid w:val="00000202"/>
    <w:rsid w:val="00000F33"/>
    <w:rsid w:val="0000489A"/>
    <w:rsid w:val="00006452"/>
    <w:rsid w:val="00016666"/>
    <w:rsid w:val="00017194"/>
    <w:rsid w:val="00021540"/>
    <w:rsid w:val="00084966"/>
    <w:rsid w:val="000953A3"/>
    <w:rsid w:val="00097E37"/>
    <w:rsid w:val="000D1C89"/>
    <w:rsid w:val="000D3A6B"/>
    <w:rsid w:val="000D7F7E"/>
    <w:rsid w:val="00106EF6"/>
    <w:rsid w:val="00114B57"/>
    <w:rsid w:val="001237E2"/>
    <w:rsid w:val="00134E9B"/>
    <w:rsid w:val="00145C4B"/>
    <w:rsid w:val="00152CA1"/>
    <w:rsid w:val="00152E70"/>
    <w:rsid w:val="00157AB1"/>
    <w:rsid w:val="001612FF"/>
    <w:rsid w:val="0017298A"/>
    <w:rsid w:val="00174EE3"/>
    <w:rsid w:val="001775E2"/>
    <w:rsid w:val="001847D5"/>
    <w:rsid w:val="00197929"/>
    <w:rsid w:val="001A3E21"/>
    <w:rsid w:val="001B40E9"/>
    <w:rsid w:val="001C3E1E"/>
    <w:rsid w:val="001E035F"/>
    <w:rsid w:val="002013F7"/>
    <w:rsid w:val="00201A5C"/>
    <w:rsid w:val="002060B4"/>
    <w:rsid w:val="0021590F"/>
    <w:rsid w:val="00224BE6"/>
    <w:rsid w:val="002319E2"/>
    <w:rsid w:val="00234CB9"/>
    <w:rsid w:val="00245141"/>
    <w:rsid w:val="0024656F"/>
    <w:rsid w:val="00293EF0"/>
    <w:rsid w:val="00295276"/>
    <w:rsid w:val="002D3991"/>
    <w:rsid w:val="002D7CC3"/>
    <w:rsid w:val="002D7DD8"/>
    <w:rsid w:val="002F585D"/>
    <w:rsid w:val="002F72A0"/>
    <w:rsid w:val="003104F2"/>
    <w:rsid w:val="003137DB"/>
    <w:rsid w:val="00322BDD"/>
    <w:rsid w:val="00353230"/>
    <w:rsid w:val="003577A6"/>
    <w:rsid w:val="003832A9"/>
    <w:rsid w:val="00393191"/>
    <w:rsid w:val="00394712"/>
    <w:rsid w:val="003A29BA"/>
    <w:rsid w:val="003C2F9C"/>
    <w:rsid w:val="003D4505"/>
    <w:rsid w:val="003E232C"/>
    <w:rsid w:val="003E5AA8"/>
    <w:rsid w:val="003F0A17"/>
    <w:rsid w:val="003F345D"/>
    <w:rsid w:val="00405748"/>
    <w:rsid w:val="004068B4"/>
    <w:rsid w:val="00423B1C"/>
    <w:rsid w:val="00466712"/>
    <w:rsid w:val="00467334"/>
    <w:rsid w:val="0047166F"/>
    <w:rsid w:val="0047500D"/>
    <w:rsid w:val="00475076"/>
    <w:rsid w:val="00475ADF"/>
    <w:rsid w:val="00481869"/>
    <w:rsid w:val="004919D4"/>
    <w:rsid w:val="004C305F"/>
    <w:rsid w:val="004D086E"/>
    <w:rsid w:val="004F6CC4"/>
    <w:rsid w:val="00504E1C"/>
    <w:rsid w:val="00512D79"/>
    <w:rsid w:val="005319B3"/>
    <w:rsid w:val="00536DD1"/>
    <w:rsid w:val="005966B1"/>
    <w:rsid w:val="005A1CC0"/>
    <w:rsid w:val="005A264D"/>
    <w:rsid w:val="005A6DDC"/>
    <w:rsid w:val="005B4998"/>
    <w:rsid w:val="005B4D49"/>
    <w:rsid w:val="005B6E79"/>
    <w:rsid w:val="005E20A1"/>
    <w:rsid w:val="00615AFD"/>
    <w:rsid w:val="006618E2"/>
    <w:rsid w:val="006A301F"/>
    <w:rsid w:val="006B1044"/>
    <w:rsid w:val="006B4530"/>
    <w:rsid w:val="006B4761"/>
    <w:rsid w:val="006C5480"/>
    <w:rsid w:val="006E3D71"/>
    <w:rsid w:val="006F2971"/>
    <w:rsid w:val="007021A2"/>
    <w:rsid w:val="00705159"/>
    <w:rsid w:val="00707080"/>
    <w:rsid w:val="007160AA"/>
    <w:rsid w:val="00726F2E"/>
    <w:rsid w:val="00742629"/>
    <w:rsid w:val="00744698"/>
    <w:rsid w:val="00751E4C"/>
    <w:rsid w:val="00794F53"/>
    <w:rsid w:val="007C1F6C"/>
    <w:rsid w:val="007C7B1B"/>
    <w:rsid w:val="007D135D"/>
    <w:rsid w:val="007F0AAC"/>
    <w:rsid w:val="007F3ACF"/>
    <w:rsid w:val="00823065"/>
    <w:rsid w:val="00893A5E"/>
    <w:rsid w:val="008A2789"/>
    <w:rsid w:val="008C0259"/>
    <w:rsid w:val="008F1CEA"/>
    <w:rsid w:val="009006D2"/>
    <w:rsid w:val="00972BAE"/>
    <w:rsid w:val="00983443"/>
    <w:rsid w:val="00984311"/>
    <w:rsid w:val="009B0CF8"/>
    <w:rsid w:val="009C25C4"/>
    <w:rsid w:val="009D0092"/>
    <w:rsid w:val="009F7CAA"/>
    <w:rsid w:val="00A126F2"/>
    <w:rsid w:val="00A23064"/>
    <w:rsid w:val="00A365D8"/>
    <w:rsid w:val="00A3687F"/>
    <w:rsid w:val="00A37DC6"/>
    <w:rsid w:val="00A40347"/>
    <w:rsid w:val="00A870E3"/>
    <w:rsid w:val="00A9501E"/>
    <w:rsid w:val="00AC0C12"/>
    <w:rsid w:val="00AD324B"/>
    <w:rsid w:val="00AD53F8"/>
    <w:rsid w:val="00AD6679"/>
    <w:rsid w:val="00B1168A"/>
    <w:rsid w:val="00B11761"/>
    <w:rsid w:val="00B136D4"/>
    <w:rsid w:val="00B177CF"/>
    <w:rsid w:val="00B17C4E"/>
    <w:rsid w:val="00B47CC1"/>
    <w:rsid w:val="00B50327"/>
    <w:rsid w:val="00B906F9"/>
    <w:rsid w:val="00BA038B"/>
    <w:rsid w:val="00BB3810"/>
    <w:rsid w:val="00BB45D9"/>
    <w:rsid w:val="00BB5C28"/>
    <w:rsid w:val="00BC5DA3"/>
    <w:rsid w:val="00BD78D3"/>
    <w:rsid w:val="00C05292"/>
    <w:rsid w:val="00C05C07"/>
    <w:rsid w:val="00C26FA5"/>
    <w:rsid w:val="00C37521"/>
    <w:rsid w:val="00C42734"/>
    <w:rsid w:val="00C44D87"/>
    <w:rsid w:val="00C534B1"/>
    <w:rsid w:val="00C57DBF"/>
    <w:rsid w:val="00CA3536"/>
    <w:rsid w:val="00CA438C"/>
    <w:rsid w:val="00CA5D89"/>
    <w:rsid w:val="00CB6D1D"/>
    <w:rsid w:val="00CF50CF"/>
    <w:rsid w:val="00D174EF"/>
    <w:rsid w:val="00D24F24"/>
    <w:rsid w:val="00D265BD"/>
    <w:rsid w:val="00D26956"/>
    <w:rsid w:val="00D4207D"/>
    <w:rsid w:val="00D462BE"/>
    <w:rsid w:val="00D74D67"/>
    <w:rsid w:val="00D772D8"/>
    <w:rsid w:val="00D77B66"/>
    <w:rsid w:val="00D81D0F"/>
    <w:rsid w:val="00D84C6E"/>
    <w:rsid w:val="00D977E5"/>
    <w:rsid w:val="00DA07B1"/>
    <w:rsid w:val="00DB4E83"/>
    <w:rsid w:val="00DD51FD"/>
    <w:rsid w:val="00DE596E"/>
    <w:rsid w:val="00DE6E41"/>
    <w:rsid w:val="00E23811"/>
    <w:rsid w:val="00E24F5D"/>
    <w:rsid w:val="00E3060F"/>
    <w:rsid w:val="00E43126"/>
    <w:rsid w:val="00E8496B"/>
    <w:rsid w:val="00E8503E"/>
    <w:rsid w:val="00E92926"/>
    <w:rsid w:val="00EC6D24"/>
    <w:rsid w:val="00F03C81"/>
    <w:rsid w:val="00F072F6"/>
    <w:rsid w:val="00F2496A"/>
    <w:rsid w:val="00F26292"/>
    <w:rsid w:val="00F320B6"/>
    <w:rsid w:val="00F54574"/>
    <w:rsid w:val="00F94973"/>
    <w:rsid w:val="00FA085D"/>
    <w:rsid w:val="00FB3801"/>
    <w:rsid w:val="00FB385B"/>
    <w:rsid w:val="00FD59A0"/>
    <w:rsid w:val="00FE1A32"/>
    <w:rsid w:val="00FE5BD1"/>
    <w:rsid w:val="038A72C5"/>
    <w:rsid w:val="05461225"/>
    <w:rsid w:val="14712004"/>
    <w:rsid w:val="15987882"/>
    <w:rsid w:val="2437384D"/>
    <w:rsid w:val="3D6172B3"/>
    <w:rsid w:val="3E7D7ACE"/>
    <w:rsid w:val="527B2771"/>
    <w:rsid w:val="56F31924"/>
    <w:rsid w:val="629FBBC9"/>
    <w:rsid w:val="7A815B40"/>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5"/>
    <w:qFormat/>
    <w:uiPriority w:val="99"/>
    <w:pPr>
      <w:widowControl/>
      <w:spacing w:before="100" w:beforeAutospacing="1" w:after="100" w:afterAutospacing="1"/>
      <w:jc w:val="left"/>
      <w:outlineLvl w:val="0"/>
    </w:pPr>
    <w:rPr>
      <w:rFonts w:ascii="宋体" w:hAnsi="宋体" w:cs="宋体"/>
      <w:b/>
      <w:bCs/>
      <w:kern w:val="36"/>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semiHidden/>
    <w:qFormat/>
    <w:uiPriority w:val="99"/>
    <w:pPr>
      <w:jc w:val="left"/>
    </w:pPr>
  </w:style>
  <w:style w:type="paragraph" w:styleId="4">
    <w:name w:val="Balloon Text"/>
    <w:basedOn w:val="1"/>
    <w:link w:val="21"/>
    <w:semiHidden/>
    <w:qFormat/>
    <w:uiPriority w:val="99"/>
    <w:rPr>
      <w:sz w:val="18"/>
      <w:szCs w:val="18"/>
    </w:rPr>
  </w:style>
  <w:style w:type="paragraph" w:styleId="5">
    <w:name w:val="footer"/>
    <w:basedOn w:val="1"/>
    <w:link w:val="17"/>
    <w:qFormat/>
    <w:uiPriority w:val="99"/>
    <w:pPr>
      <w:tabs>
        <w:tab w:val="center" w:pos="4153"/>
        <w:tab w:val="right" w:pos="8306"/>
      </w:tabs>
      <w:snapToGrid w:val="0"/>
      <w:jc w:val="left"/>
    </w:pPr>
    <w:rPr>
      <w:sz w:val="18"/>
      <w:szCs w:val="18"/>
    </w:rPr>
  </w:style>
  <w:style w:type="paragraph" w:styleId="6">
    <w:name w:val="header"/>
    <w:basedOn w:val="1"/>
    <w:link w:val="16"/>
    <w:semiHidden/>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8">
    <w:name w:val="annotation subject"/>
    <w:basedOn w:val="3"/>
    <w:next w:val="3"/>
    <w:link w:val="20"/>
    <w:semiHidden/>
    <w:qFormat/>
    <w:uiPriority w:val="99"/>
    <w:rPr>
      <w:b/>
      <w:bCs/>
    </w:rPr>
  </w:style>
  <w:style w:type="table" w:styleId="10">
    <w:name w:val="Table Grid"/>
    <w:basedOn w:val="9"/>
    <w:qFormat/>
    <w:locked/>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22"/>
    <w:rPr>
      <w:b/>
      <w:bCs/>
    </w:rPr>
  </w:style>
  <w:style w:type="character" w:styleId="13">
    <w:name w:val="Hyperlink"/>
    <w:basedOn w:val="11"/>
    <w:unhideWhenUsed/>
    <w:qFormat/>
    <w:uiPriority w:val="99"/>
    <w:rPr>
      <w:color w:val="0000FF"/>
      <w:u w:val="single"/>
    </w:rPr>
  </w:style>
  <w:style w:type="character" w:styleId="14">
    <w:name w:val="annotation reference"/>
    <w:semiHidden/>
    <w:qFormat/>
    <w:uiPriority w:val="99"/>
    <w:rPr>
      <w:sz w:val="21"/>
      <w:szCs w:val="21"/>
    </w:rPr>
  </w:style>
  <w:style w:type="character" w:customStyle="1" w:styleId="15">
    <w:name w:val="标题 1 Char"/>
    <w:link w:val="2"/>
    <w:qFormat/>
    <w:locked/>
    <w:uiPriority w:val="99"/>
    <w:rPr>
      <w:rFonts w:ascii="宋体" w:hAnsi="宋体" w:eastAsia="宋体" w:cs="宋体"/>
      <w:b/>
      <w:bCs/>
      <w:kern w:val="36"/>
      <w:sz w:val="48"/>
      <w:szCs w:val="48"/>
    </w:rPr>
  </w:style>
  <w:style w:type="character" w:customStyle="1" w:styleId="16">
    <w:name w:val="页眉 Char"/>
    <w:link w:val="6"/>
    <w:semiHidden/>
    <w:qFormat/>
    <w:locked/>
    <w:uiPriority w:val="99"/>
    <w:rPr>
      <w:sz w:val="18"/>
      <w:szCs w:val="18"/>
    </w:rPr>
  </w:style>
  <w:style w:type="character" w:customStyle="1" w:styleId="17">
    <w:name w:val="页脚 Char"/>
    <w:link w:val="5"/>
    <w:qFormat/>
    <w:locked/>
    <w:uiPriority w:val="99"/>
    <w:rPr>
      <w:sz w:val="18"/>
      <w:szCs w:val="18"/>
    </w:rPr>
  </w:style>
  <w:style w:type="paragraph" w:styleId="18">
    <w:name w:val="List Paragraph"/>
    <w:basedOn w:val="1"/>
    <w:qFormat/>
    <w:uiPriority w:val="99"/>
    <w:pPr>
      <w:ind w:firstLine="420" w:firstLineChars="200"/>
    </w:pPr>
  </w:style>
  <w:style w:type="character" w:customStyle="1" w:styleId="19">
    <w:name w:val="批注文字 Char"/>
    <w:link w:val="3"/>
    <w:semiHidden/>
    <w:qFormat/>
    <w:uiPriority w:val="99"/>
    <w:rPr>
      <w:rFonts w:cs="Calibri"/>
      <w:szCs w:val="21"/>
    </w:rPr>
  </w:style>
  <w:style w:type="character" w:customStyle="1" w:styleId="20">
    <w:name w:val="批注主题 Char"/>
    <w:link w:val="8"/>
    <w:semiHidden/>
    <w:qFormat/>
    <w:uiPriority w:val="99"/>
    <w:rPr>
      <w:rFonts w:cs="Calibri"/>
      <w:b/>
      <w:bCs/>
      <w:szCs w:val="21"/>
    </w:rPr>
  </w:style>
  <w:style w:type="character" w:customStyle="1" w:styleId="21">
    <w:name w:val="批注框文本 Char"/>
    <w:link w:val="4"/>
    <w:semiHidden/>
    <w:qFormat/>
    <w:uiPriority w:val="99"/>
    <w:rPr>
      <w:rFonts w:cs="Calibri"/>
      <w:sz w:val="0"/>
      <w:szCs w:val="0"/>
    </w:rPr>
  </w:style>
  <w:style w:type="character" w:customStyle="1" w:styleId="22">
    <w:name w:val="apple-converted-space"/>
    <w:basedOn w:val="11"/>
    <w:qFormat/>
    <w:uiPriority w:val="0"/>
  </w:style>
  <w:style w:type="paragraph" w:customStyle="1" w:styleId="23">
    <w:name w:val="修订1"/>
    <w:hidden/>
    <w:semiHidden/>
    <w:qFormat/>
    <w:uiPriority w:val="99"/>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299</Words>
  <Characters>1705</Characters>
  <Lines>14</Lines>
  <Paragraphs>3</Paragraphs>
  <TotalTime>439</TotalTime>
  <ScaleCrop>false</ScaleCrop>
  <LinksUpToDate>false</LinksUpToDate>
  <CharactersWithSpaces>2001</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2017-08-10T11:45:00Z</dcterms:created>
  <dc:creator>ysy</dc:creator>
  <cp:lastModifiedBy>uos</cp:lastModifiedBy>
  <cp:lastPrinted>2018-03-07T10:30:00Z</cp:lastPrinted>
  <dcterms:modified xsi:type="dcterms:W3CDTF">2022-04-26T16:22:47Z</dcterms:modified>
  <dc:title>四川省精神卫生中心  绵阳市第三人民医院</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